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400"/>
              <w:left w:type="dxa" w:w="400"/>
              <w:bottom w:type="dxa" w:w="400"/>
              <w:right w:type="dxa" w:w="400"/>
            </w:tcMar>
          </w:tcPr>
          <w:p>
            <w:pPr>
              <w:spacing w:after="80"/>
              <w:jc w:val="center"/>
            </w:pPr>
            <w:r>
              <w:rPr>
                <w:rFonts w:ascii="Arial" w:cs="Arial" w:eastAsia="Arial" w:hAnsi="Arial"/>
                <w:b/>
                <w:bCs/>
                <w:color w:val="BDD7EE"/>
                <w:sz w:val="52"/>
                <w:szCs w:val="52"/>
              </w:rPr>
              <w:t xml:space="preserve">ECosmos Solutions</w:t>
            </w:r>
          </w:p>
          <w:p>
            <w:pPr>
              <w:spacing w:after="80"/>
              <w:jc w:val="center"/>
            </w:pPr>
            <w:r>
              <w:rPr>
                <w:rFonts w:ascii="Arial" w:cs="Arial" w:eastAsia="Arial" w:hAnsi="Arial"/>
                <w:b/>
                <w:bCs/>
                <w:color w:val="FFFFFF"/>
                <w:sz w:val="72"/>
                <w:szCs w:val="72"/>
              </w:rPr>
              <w:t xml:space="preserve">Dr. Verify</w:t>
            </w:r>
          </w:p>
          <w:p>
            <w:pPr>
              <w:spacing w:after="120"/>
              <w:jc w:val="center"/>
            </w:pPr>
            <w:r>
              <w:rPr>
                <w:rFonts w:ascii="Arial" w:cs="Arial" w:eastAsia="Arial" w:hAnsi="Arial"/>
                <w:b/>
                <w:bCs/>
                <w:color w:val="BDD7EE"/>
                <w:sz w:val="40"/>
                <w:szCs w:val="40"/>
              </w:rPr>
              <w:t xml:space="preserve">Competitive Battle Cards</w:t>
            </w:r>
          </w:p>
          <w:p>
            <w:pPr>
              <w:spacing w:after="0"/>
              <w:jc w:val="center"/>
            </w:pPr>
            <w:r>
              <w:rPr>
                <w:rFonts w:ascii="Arial" w:cs="Arial" w:eastAsia="Arial" w:hAnsi="Arial"/>
                <w:i/>
                <w:iCs/>
                <w:color w:val="7FB3D3"/>
                <w:sz w:val="22"/>
                <w:szCs w:val="22"/>
              </w:rPr>
              <w:t xml:space="preserve">Sales Enablement | CONFIDENTIAL</w:t>
            </w:r>
          </w:p>
        </w:tc>
      </w:tr>
    </w:tbl>
    <w:p>
      <w:pPr>
        <w:spacing w:after="80" w:before="80"/>
      </w:pPr>
      <w:r>
        <w:t xml:space="preserve"/>
      </w:r>
    </w:p>
    <w:p>
      <w:pPr>
        <w:spacing w:after="8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2E75B6" w:sz="4"/>
              <w:left w:val="single" w:color="2E75B6" w:sz="4"/>
              <w:bottom w:val="single" w:color="2E75B6" w:sz="4"/>
              <w:right w:val="single" w:color="2E75B6" w:sz="4"/>
            </w:tcBorders>
            <w:shd w:fill="D6E4F0" w:val="clear"/>
            <w:tcMar>
              <w:top w:type="dxa" w:w="120"/>
              <w:left w:type="dxa" w:w="120"/>
              <w:bottom w:type="dxa" w:w="120"/>
              <w:right w:type="dxa" w:w="120"/>
            </w:tcMar>
          </w:tcPr>
          <w:p>
            <w:pPr>
              <w:jc w:val="center"/>
            </w:pPr>
            <w:r>
              <w:rPr>
                <w:rFonts w:ascii="Arial" w:cs="Arial" w:eastAsia="Arial" w:hAnsi="Arial"/>
                <w:b/>
                <w:bCs/>
                <w:color w:val="1F3864"/>
                <w:sz w:val="40"/>
                <w:szCs w:val="40"/>
              </w:rPr>
              <w:t xml:space="preserve">450+</w:t>
            </w:r>
          </w:p>
          <w:p>
            <w:pPr>
              <w:jc w:val="center"/>
            </w:pPr>
            <w:r>
              <w:rPr>
                <w:rFonts w:ascii="Arial" w:cs="Arial" w:eastAsia="Arial" w:hAnsi="Arial"/>
                <w:color w:val="555555"/>
                <w:sz w:val="20"/>
                <w:szCs w:val="20"/>
              </w:rPr>
              <w:t xml:space="preserve">Enterprise Customers</w:t>
            </w:r>
          </w:p>
        </w:tc>
        <w:tc>
          <w:tcPr>
            <w:tcW w:type="dxa" w:w="3120"/>
            <w:tcBorders>
              <w:top w:val="single" w:color="2E75B6" w:sz="4"/>
              <w:left w:val="single" w:color="2E75B6" w:sz="4"/>
              <w:bottom w:val="single" w:color="2E75B6" w:sz="4"/>
              <w:right w:val="single" w:color="2E75B6" w:sz="4"/>
            </w:tcBorders>
            <w:shd w:fill="D6E4F0" w:val="clear"/>
            <w:tcMar>
              <w:top w:type="dxa" w:w="120"/>
              <w:left w:type="dxa" w:w="120"/>
              <w:bottom w:type="dxa" w:w="120"/>
              <w:right w:type="dxa" w:w="120"/>
            </w:tcMar>
          </w:tcPr>
          <w:p>
            <w:pPr>
              <w:jc w:val="center"/>
            </w:pPr>
            <w:r>
              <w:rPr>
                <w:rFonts w:ascii="Arial" w:cs="Arial" w:eastAsia="Arial" w:hAnsi="Arial"/>
                <w:b/>
                <w:bCs/>
                <w:color w:val="1F3864"/>
                <w:sz w:val="40"/>
                <w:szCs w:val="40"/>
              </w:rPr>
              <w:t xml:space="preserve">$20M+</w:t>
            </w:r>
          </w:p>
          <w:p>
            <w:pPr>
              <w:jc w:val="center"/>
            </w:pPr>
            <w:r>
              <w:rPr>
                <w:rFonts w:ascii="Arial" w:cs="Arial" w:eastAsia="Arial" w:hAnsi="Arial"/>
                <w:color w:val="555555"/>
                <w:sz w:val="20"/>
                <w:szCs w:val="20"/>
              </w:rPr>
              <w:t xml:space="preserve">Revenue Generated</w:t>
            </w:r>
          </w:p>
        </w:tc>
        <w:tc>
          <w:tcPr>
            <w:tcW w:type="dxa" w:w="3120"/>
            <w:tcBorders>
              <w:top w:val="single" w:color="2E75B6" w:sz="4"/>
              <w:left w:val="single" w:color="2E75B6" w:sz="4"/>
              <w:bottom w:val="single" w:color="2E75B6" w:sz="4"/>
              <w:right w:val="single" w:color="2E75B6" w:sz="4"/>
            </w:tcBorders>
            <w:shd w:fill="D6E4F0" w:val="clear"/>
            <w:tcMar>
              <w:top w:type="dxa" w:w="120"/>
              <w:left w:type="dxa" w:w="120"/>
              <w:bottom w:type="dxa" w:w="120"/>
              <w:right w:type="dxa" w:w="120"/>
            </w:tcMar>
          </w:tcPr>
          <w:p>
            <w:pPr>
              <w:jc w:val="center"/>
            </w:pPr>
            <w:r>
              <w:rPr>
                <w:rFonts w:ascii="Arial" w:cs="Arial" w:eastAsia="Arial" w:hAnsi="Arial"/>
                <w:b/>
                <w:bCs/>
                <w:color w:val="1F3864"/>
                <w:sz w:val="40"/>
                <w:szCs w:val="40"/>
              </w:rPr>
              <w:t xml:space="preserve">3 Markets</w:t>
            </w:r>
          </w:p>
          <w:p>
            <w:pPr>
              <w:jc w:val="center"/>
            </w:pPr>
            <w:r>
              <w:rPr>
                <w:rFonts w:ascii="Arial" w:cs="Arial" w:eastAsia="Arial" w:hAnsi="Arial"/>
                <w:color w:val="555555"/>
                <w:sz w:val="20"/>
                <w:szCs w:val="20"/>
              </w:rPr>
              <w:t xml:space="preserve">US · UK · India</w:t>
            </w:r>
          </w:p>
        </w:tc>
      </w:tr>
    </w:tbl>
    <w:p>
      <w:pPr>
        <w:spacing w:after="80" w:before="80"/>
      </w:pPr>
      <w:r>
        <w:t xml:space="preserve"/>
      </w:r>
    </w:p>
    <w:p>
      <w:pPr>
        <w:spacing w:after="0" w:before="80"/>
        <w:jc w:val="center"/>
      </w:pPr>
      <w:r>
        <w:rPr>
          <w:rFonts w:ascii="Arial" w:cs="Arial" w:eastAsia="Arial" w:hAnsi="Arial"/>
          <w:i/>
          <w:iCs/>
          <w:color w:val="555555"/>
          <w:sz w:val="20"/>
          <w:szCs w:val="20"/>
        </w:rPr>
        <w:t xml:space="preserve">Including Anthem/Elevance Health and Fortune 500 Enterprises</w:t>
      </w:r>
    </w:p>
    <w:p>
      <w:r>
        <w:br w:type="page"/>
      </w:r>
    </w:p>
    <w:p>
      <w:pPr>
        <w:spacing w:after="200" w:before="0"/>
      </w:pPr>
      <w:r>
        <w:rPr>
          <w:rFonts w:ascii="Arial" w:cs="Arial" w:eastAsia="Arial" w:hAnsi="Arial"/>
          <w:b/>
          <w:bCs/>
          <w:color w:val="1F3864"/>
          <w:sz w:val="36"/>
          <w:szCs w:val="36"/>
        </w:rPr>
        <w:t xml:space="preserve">How to Use These Battle Cards</w:t>
      </w:r>
    </w:p>
    <w:p>
      <w:pPr>
        <w:spacing w:after="160" w:before="0"/>
      </w:pPr>
      <w:r>
        <w:rPr>
          <w:rFonts w:ascii="Arial" w:cs="Arial" w:eastAsia="Arial" w:hAnsi="Arial"/>
          <w:sz w:val="20"/>
          <w:szCs w:val="20"/>
        </w:rPr>
        <w:t xml:space="preserve">These battle cards are designed to help ECosmos sales, partnerships, and customer success teams win competitive deals for Dr. Verify — our AI-powered provider data management and credentialing verification platform.</w:t>
      </w:r>
    </w:p>
    <w:p>
      <w:pPr>
        <w:pBdr>
          <w:bottom w:val="single" w:color="2E75B6" w:sz="6" w:space="1"/>
        </w:pBdr>
        <w:spacing w:after="80" w:before="160"/>
      </w:pPr>
      <w:r>
        <w:rPr>
          <w:rFonts w:ascii="Arial" w:cs="Arial" w:eastAsia="Arial" w:hAnsi="Arial"/>
          <w:b/>
          <w:bCs/>
          <w:color w:val="1F3864"/>
          <w:sz w:val="22"/>
          <w:szCs w:val="22"/>
        </w:rPr>
        <w:t xml:space="preserve">Quick Reference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4"/>
              <w:left w:val="single" w:color="CCCCCC" w:sz="4"/>
              <w:bottom w:val="single" w:color="CCCCCC" w:sz="4"/>
              <w:right w:val="single" w:color="CCCCCC" w:sz="4"/>
            </w:tcBorders>
            <w:shd w:fill="D6E4F0" w:val="clear"/>
            <w:tcMar>
              <w:top w:type="dxa" w:w="80"/>
              <w:left w:type="dxa" w:w="120"/>
              <w:bottom w:type="dxa" w:w="80"/>
              <w:right w:type="dxa" w:w="120"/>
            </w:tcMar>
          </w:tcPr>
          <w:p>
            <w:r>
              <w:rPr>
                <w:rFonts w:ascii="Arial" w:cs="Arial" w:eastAsia="Arial" w:hAnsi="Arial"/>
                <w:b/>
                <w:bCs/>
                <w:color w:val="1F3864"/>
                <w:sz w:val="20"/>
                <w:szCs w:val="20"/>
              </w:rPr>
              <w:t xml:space="preserve">🎯 Snapshot</w:t>
            </w:r>
          </w:p>
        </w:tc>
        <w:tc>
          <w:tcPr>
            <w:tcW w:type="dxa" w:w="7360"/>
            <w:tcBorders>
              <w:top w:val="single" w:color="CCCCCC" w:sz="4"/>
              <w:left w:val="single" w:color="CCCCCC" w:sz="4"/>
              <w:bottom w:val="single" w:color="CCCCCC" w:sz="4"/>
              <w:right w:val="single" w:color="CCCCCC" w:sz="4"/>
            </w:tcBorders>
            <w:shd w:fill="F2F2F2" w:val="clear"/>
            <w:tcMar>
              <w:top w:type="dxa" w:w="80"/>
              <w:left w:type="dxa" w:w="120"/>
              <w:bottom w:type="dxa" w:w="80"/>
              <w:right w:type="dxa" w:w="120"/>
            </w:tcMar>
          </w:tcPr>
          <w:p>
            <w:r>
              <w:rPr>
                <w:rFonts w:ascii="Arial" w:cs="Arial" w:eastAsia="Arial" w:hAnsi="Arial"/>
                <w:sz w:val="20"/>
                <w:szCs w:val="20"/>
              </w:rPr>
              <w:t xml:space="preserve">Quick background on the competitor — who they are and how they position.</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b/>
                <w:bCs/>
                <w:color w:val="1F3864"/>
                <w:sz w:val="20"/>
                <w:szCs w:val="20"/>
              </w:rPr>
              <w:t xml:space="preserve">📊 Strengths/Weaknesses</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Honest assessment. Know their strengths; exploit their gaps.</w:t>
            </w:r>
          </w:p>
        </w:tc>
      </w:tr>
      <w:tr>
        <w:tc>
          <w:tcPr>
            <w:tcW w:type="dxa" w:w="2000"/>
            <w:tcBorders>
              <w:top w:val="single" w:color="CCCCCC" w:sz="4"/>
              <w:left w:val="single" w:color="CCCCCC" w:sz="4"/>
              <w:bottom w:val="single" w:color="CCCCCC" w:sz="4"/>
              <w:right w:val="single" w:color="CCCCCC" w:sz="4"/>
            </w:tcBorders>
            <w:shd w:fill="D6E4F0" w:val="clear"/>
            <w:tcMar>
              <w:top w:type="dxa" w:w="80"/>
              <w:left w:type="dxa" w:w="120"/>
              <w:bottom w:type="dxa" w:w="80"/>
              <w:right w:type="dxa" w:w="120"/>
            </w:tcMar>
          </w:tcPr>
          <w:p>
            <w:r>
              <w:rPr>
                <w:rFonts w:ascii="Arial" w:cs="Arial" w:eastAsia="Arial" w:hAnsi="Arial"/>
                <w:b/>
                <w:bCs/>
                <w:color w:val="1F3864"/>
                <w:sz w:val="20"/>
                <w:szCs w:val="20"/>
              </w:rPr>
              <w:t xml:space="preserve">🏆 Where We Win</w:t>
            </w:r>
          </w:p>
        </w:tc>
        <w:tc>
          <w:tcPr>
            <w:tcW w:type="dxa" w:w="7360"/>
            <w:tcBorders>
              <w:top w:val="single" w:color="CCCCCC" w:sz="4"/>
              <w:left w:val="single" w:color="CCCCCC" w:sz="4"/>
              <w:bottom w:val="single" w:color="CCCCCC" w:sz="4"/>
              <w:right w:val="single" w:color="CCCCCC" w:sz="4"/>
            </w:tcBorders>
            <w:shd w:fill="F2F2F2" w:val="clear"/>
            <w:tcMar>
              <w:top w:type="dxa" w:w="80"/>
              <w:left w:type="dxa" w:w="120"/>
              <w:bottom w:type="dxa" w:w="80"/>
              <w:right w:type="dxa" w:w="120"/>
            </w:tcMar>
          </w:tcPr>
          <w:p>
            <w:r>
              <w:rPr>
                <w:rFonts w:ascii="Arial" w:cs="Arial" w:eastAsia="Arial" w:hAnsi="Arial"/>
                <w:sz w:val="20"/>
                <w:szCs w:val="20"/>
              </w:rPr>
              <w:t xml:space="preserve">The specific scenarios and proof points where Dr. Verify outperforms.</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b/>
                <w:bCs/>
                <w:color w:val="1F3864"/>
                <w:sz w:val="20"/>
                <w:szCs w:val="20"/>
              </w:rPr>
              <w:t xml:space="preserve">💬 Talking Points</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Reframe the narrative — use these sound bites in discovery and demos.</w:t>
            </w:r>
          </w:p>
        </w:tc>
      </w:tr>
      <w:tr>
        <w:tc>
          <w:tcPr>
            <w:tcW w:type="dxa" w:w="2000"/>
            <w:tcBorders>
              <w:top w:val="single" w:color="CCCCCC" w:sz="4"/>
              <w:left w:val="single" w:color="CCCCCC" w:sz="4"/>
              <w:bottom w:val="single" w:color="CCCCCC" w:sz="4"/>
              <w:right w:val="single" w:color="CCCCCC" w:sz="4"/>
            </w:tcBorders>
            <w:shd w:fill="D6E4F0" w:val="clear"/>
            <w:tcMar>
              <w:top w:type="dxa" w:w="80"/>
              <w:left w:type="dxa" w:w="120"/>
              <w:bottom w:type="dxa" w:w="80"/>
              <w:right w:type="dxa" w:w="120"/>
            </w:tcMar>
          </w:tcPr>
          <w:p>
            <w:r>
              <w:rPr>
                <w:rFonts w:ascii="Arial" w:cs="Arial" w:eastAsia="Arial" w:hAnsi="Arial"/>
                <w:b/>
                <w:bCs/>
                <w:color w:val="1F3864"/>
                <w:sz w:val="20"/>
                <w:szCs w:val="20"/>
              </w:rPr>
              <w:t xml:space="preserve">💣 Landmines</w:t>
            </w:r>
          </w:p>
        </w:tc>
        <w:tc>
          <w:tcPr>
            <w:tcW w:type="dxa" w:w="7360"/>
            <w:tcBorders>
              <w:top w:val="single" w:color="CCCCCC" w:sz="4"/>
              <w:left w:val="single" w:color="CCCCCC" w:sz="4"/>
              <w:bottom w:val="single" w:color="CCCCCC" w:sz="4"/>
              <w:right w:val="single" w:color="CCCCCC" w:sz="4"/>
            </w:tcBorders>
            <w:shd w:fill="F2F2F2" w:val="clear"/>
            <w:tcMar>
              <w:top w:type="dxa" w:w="80"/>
              <w:left w:type="dxa" w:w="120"/>
              <w:bottom w:type="dxa" w:w="80"/>
              <w:right w:type="dxa" w:w="120"/>
            </w:tcMar>
          </w:tcPr>
          <w:p>
            <w:r>
              <w:rPr>
                <w:rFonts w:ascii="Arial" w:cs="Arial" w:eastAsia="Arial" w:hAnsi="Arial"/>
                <w:sz w:val="20"/>
                <w:szCs w:val="20"/>
              </w:rPr>
              <w:t xml:space="preserve">Questions that surface competitor weaknesses without sounding negative.</w:t>
            </w:r>
          </w:p>
        </w:tc>
      </w:tr>
      <w:tr>
        <w:tc>
          <w:tcPr>
            <w:tcW w:type="dxa" w:w="20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b/>
                <w:bCs/>
                <w:color w:val="1F3864"/>
                <w:sz w:val="20"/>
                <w:szCs w:val="20"/>
              </w:rPr>
              <w:t xml:space="preserve">🛡️ Objections</w:t>
            </w:r>
          </w:p>
        </w:tc>
        <w:tc>
          <w:tcPr>
            <w:tcW w:type="dxa" w:w="73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20"/>
                <w:szCs w:val="20"/>
              </w:rPr>
              <w:t xml:space="preserve">Pre-built responses to the most common pushback.</w:t>
            </w:r>
          </w:p>
        </w:tc>
      </w:tr>
      <w:tr>
        <w:tc>
          <w:tcPr>
            <w:tcW w:type="dxa" w:w="2000"/>
            <w:tcBorders>
              <w:top w:val="single" w:color="CCCCCC" w:sz="4"/>
              <w:left w:val="single" w:color="CCCCCC" w:sz="4"/>
              <w:bottom w:val="single" w:color="CCCCCC" w:sz="4"/>
              <w:right w:val="single" w:color="CCCCCC" w:sz="4"/>
            </w:tcBorders>
            <w:shd w:fill="D6E4F0" w:val="clear"/>
            <w:tcMar>
              <w:top w:type="dxa" w:w="80"/>
              <w:left w:type="dxa" w:w="120"/>
              <w:bottom w:type="dxa" w:w="80"/>
              <w:right w:type="dxa" w:w="120"/>
            </w:tcMar>
          </w:tcPr>
          <w:p>
            <w:r>
              <w:rPr>
                <w:rFonts w:ascii="Arial" w:cs="Arial" w:eastAsia="Arial" w:hAnsi="Arial"/>
                <w:b/>
                <w:bCs/>
                <w:color w:val="1F3864"/>
                <w:sz w:val="20"/>
                <w:szCs w:val="20"/>
              </w:rPr>
              <w:t xml:space="preserve">🔍 Discovery</w:t>
            </w:r>
          </w:p>
        </w:tc>
        <w:tc>
          <w:tcPr>
            <w:tcW w:type="dxa" w:w="7360"/>
            <w:tcBorders>
              <w:top w:val="single" w:color="CCCCCC" w:sz="4"/>
              <w:left w:val="single" w:color="CCCCCC" w:sz="4"/>
              <w:bottom w:val="single" w:color="CCCCCC" w:sz="4"/>
              <w:right w:val="single" w:color="CCCCCC" w:sz="4"/>
            </w:tcBorders>
            <w:shd w:fill="F2F2F2" w:val="clear"/>
            <w:tcMar>
              <w:top w:type="dxa" w:w="80"/>
              <w:left w:type="dxa" w:w="120"/>
              <w:bottom w:type="dxa" w:w="80"/>
              <w:right w:type="dxa" w:w="120"/>
            </w:tcMar>
          </w:tcPr>
          <w:p>
            <w:r>
              <w:rPr>
                <w:rFonts w:ascii="Arial" w:cs="Arial" w:eastAsia="Arial" w:hAnsi="Arial"/>
                <w:sz w:val="20"/>
                <w:szCs w:val="20"/>
              </w:rPr>
              <w:t xml:space="preserve">Qualifying questions that move deals forward and expose competitor pain.</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Competitors Covered</w:t>
      </w:r>
    </w:p>
    <w:p>
      <w:pPr>
        <w:pStyle w:val="ListParagraph"/>
        <w:numPr>
          <w:ilvl w:val="0"/>
          <w:numId w:val="2"/>
        </w:numPr>
        <w:spacing w:after="40" w:before="40"/>
      </w:pPr>
      <w:r>
        <w:rPr>
          <w:rFonts w:ascii="Arial" w:cs="Arial" w:eastAsia="Arial" w:hAnsi="Arial"/>
          <w:b w:val="false"/>
          <w:bCs w:val="false"/>
          <w:color w:val="000000"/>
          <w:sz w:val="20"/>
          <w:szCs w:val="20"/>
        </w:rPr>
        <w:t xml:space="preserve">1. Verity (symplr) — Enterprise HCIM / credentialing platform</w:t>
      </w:r>
    </w:p>
    <w:p>
      <w:pPr>
        <w:pStyle w:val="ListParagraph"/>
        <w:numPr>
          <w:ilvl w:val="0"/>
          <w:numId w:val="2"/>
        </w:numPr>
        <w:spacing w:after="40" w:before="40"/>
      </w:pPr>
      <w:r>
        <w:rPr>
          <w:rFonts w:ascii="Arial" w:cs="Arial" w:eastAsia="Arial" w:hAnsi="Arial"/>
          <w:b w:val="false"/>
          <w:bCs w:val="false"/>
          <w:color w:val="000000"/>
          <w:sz w:val="20"/>
          <w:szCs w:val="20"/>
        </w:rPr>
        <w:t xml:space="preserve">2. Modio Health — Clinician-focused credentialing workflow</w:t>
      </w:r>
    </w:p>
    <w:p>
      <w:pPr>
        <w:pStyle w:val="ListParagraph"/>
        <w:numPr>
          <w:ilvl w:val="0"/>
          <w:numId w:val="2"/>
        </w:numPr>
        <w:spacing w:after="40" w:before="40"/>
      </w:pPr>
      <w:r>
        <w:rPr>
          <w:rFonts w:ascii="Arial" w:cs="Arial" w:eastAsia="Arial" w:hAnsi="Arial"/>
          <w:b w:val="false"/>
          <w:bCs w:val="false"/>
          <w:color w:val="000000"/>
          <w:sz w:val="20"/>
          <w:szCs w:val="20"/>
        </w:rPr>
        <w:t xml:space="preserve">3. Medallion — Modern provider operations for health systems</w:t>
      </w:r>
    </w:p>
    <w:p>
      <w:pPr>
        <w:pStyle w:val="ListParagraph"/>
        <w:numPr>
          <w:ilvl w:val="0"/>
          <w:numId w:val="2"/>
        </w:numPr>
        <w:spacing w:after="40" w:before="40"/>
      </w:pPr>
      <w:r>
        <w:rPr>
          <w:rFonts w:ascii="Arial" w:cs="Arial" w:eastAsia="Arial" w:hAnsi="Arial"/>
          <w:b w:val="false"/>
          <w:bCs w:val="false"/>
          <w:color w:val="000000"/>
          <w:sz w:val="20"/>
          <w:szCs w:val="20"/>
        </w:rPr>
        <w:t xml:space="preserve">4. CAQH ProView — Industry-standard credentialing data source</w:t>
      </w:r>
    </w:p>
    <w:p>
      <w:pPr>
        <w:pStyle w:val="ListParagraph"/>
        <w:numPr>
          <w:ilvl w:val="0"/>
          <w:numId w:val="2"/>
        </w:numPr>
        <w:spacing w:after="40" w:before="40"/>
      </w:pPr>
      <w:r>
        <w:rPr>
          <w:rFonts w:ascii="Arial" w:cs="Arial" w:eastAsia="Arial" w:hAnsi="Arial"/>
          <w:b w:val="false"/>
          <w:bCs w:val="false"/>
          <w:color w:val="000000"/>
          <w:sz w:val="20"/>
          <w:szCs w:val="20"/>
        </w:rPr>
        <w:t xml:space="preserve">5. MD-Staff — Mid-market credentialing software</w:t>
      </w:r>
    </w:p>
    <w:p>
      <w:pPr>
        <w:spacing w:after="80" w:before="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spacing w:after="40" w:before="0"/>
            </w:pPr>
            <w:r>
              <w:rPr>
                <w:rFonts w:ascii="Arial" w:cs="Arial" w:eastAsia="Arial" w:hAnsi="Arial"/>
                <w:b/>
                <w:bCs/>
                <w:color w:val="FFFFFF"/>
                <w:sz w:val="40"/>
                <w:szCs w:val="40"/>
              </w:rPr>
              <w:t xml:space="preserve">vs. Verity (symplr)</w:t>
            </w:r>
          </w:p>
          <w:p>
            <w:pPr>
              <w:spacing w:after="0" w:before="0"/>
            </w:pPr>
            <w:r>
              <w:rPr>
                <w:rFonts w:ascii="Arial" w:cs="Arial" w:eastAsia="Arial" w:hAnsi="Arial"/>
                <w:i/>
                <w:iCs/>
                <w:color w:val="BDD7EE"/>
                <w:sz w:val="22"/>
                <w:szCs w:val="22"/>
              </w:rPr>
              <w:t xml:space="preserve">When they lead with enterprise scale — counter with speed, cost, and real AI.</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Competitor Snapshot</w:t>
      </w:r>
    </w:p>
    <w:p>
      <w:pPr>
        <w:spacing w:after="80" w:before="60"/>
      </w:pPr>
      <w:r>
        <w:rPr>
          <w:rFonts w:ascii="Arial" w:cs="Arial" w:eastAsia="Arial" w:hAnsi="Arial"/>
          <w:sz w:val="20"/>
          <w:szCs w:val="20"/>
        </w:rPr>
        <w:t xml:space="preserve">symplr's Verity is an enterprise Healthcare Information Management (HCIM) platform serving large health systems. Acquired through a series of M&amp;A roll-ups, Verity bundles credentialing, workforce management, compliance, and vendor management into a sprawling suite. It's often positioned as the 'safe enterprise bet' — but that positioning comes with serious trade-offs: implementation timelines measured in years, rigid workflows, and a price tag that reflects platform sprawl, not credentialing depth.</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Strengths vs. Weaknesses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4"/>
              <w:left w:val="single" w:color="2E75B6" w:sz="4"/>
              <w:bottom w:val="single" w:color="2E75B6" w:sz="4"/>
              <w:right w:val="single" w:color="2E75B6" w:sz="4"/>
            </w:tcBorders>
            <w:shd w:fill="D6E4F0" w:val="clear"/>
            <w:tcMar>
              <w:top w:type="dxa" w:w="80"/>
              <w:left w:type="dxa" w:w="120"/>
              <w:bottom w:type="dxa" w:w="80"/>
              <w:right w:type="dxa" w:w="120"/>
            </w:tcMar>
          </w:tcPr>
          <w:p>
            <w:r>
              <w:rPr>
                <w:rFonts w:ascii="Arial" w:cs="Arial" w:eastAsia="Arial" w:hAnsi="Arial"/>
                <w:b/>
                <w:bCs/>
                <w:color w:val="1F3864"/>
                <w:sz w:val="22"/>
                <w:szCs w:val="22"/>
              </w:rPr>
              <w:t xml:space="preserve">✅ Verity (symplr) Strengths</w:t>
            </w:r>
          </w:p>
        </w:tc>
        <w:tc>
          <w:tcPr>
            <w:tcW w:type="dxa" w:w="4680"/>
            <w:tcBorders>
              <w:top w:val="single" w:color="C00000" w:sz="4"/>
              <w:left w:val="single" w:color="C00000" w:sz="4"/>
              <w:bottom w:val="single" w:color="C00000" w:sz="4"/>
              <w:right w:val="single" w:color="C00000" w:sz="4"/>
            </w:tcBorders>
            <w:shd w:fill="FCE4D6" w:val="clear"/>
            <w:tcMar>
              <w:top w:type="dxa" w:w="80"/>
              <w:left w:type="dxa" w:w="120"/>
              <w:bottom w:type="dxa" w:w="80"/>
              <w:right w:type="dxa" w:w="120"/>
            </w:tcMar>
          </w:tcPr>
          <w:p>
            <w:r>
              <w:rPr>
                <w:rFonts w:ascii="Arial" w:cs="Arial" w:eastAsia="Arial" w:hAnsi="Arial"/>
                <w:b/>
                <w:bCs/>
                <w:color w:val="C00000"/>
                <w:sz w:val="22"/>
                <w:szCs w:val="22"/>
              </w:rPr>
              <w:t xml:space="preserve">❌ Verity (symplr) Weaknesses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Strong brand recognition in large IDN/health system market</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12–18+ month implementation timelines typical</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Broad suite (credentialing + workforce + compliance + vendor mgmt)</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Expensive — total cost of ownership often exceeds initial quote</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Deep relationships with hospital procurement teams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M&amp;A legacy means disjointed UX across product modules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Robust compliance and audit trail features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AI capabilities are nascent / bolt-on, not native</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Enterprise-grade security certifications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Overkill and overpriced for mid-market and regional health systems</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Where Dr. Verify Wins</w:t>
      </w:r>
    </w:p>
    <w:p>
      <w:pPr>
        <w:pStyle w:val="ListParagraph"/>
        <w:numPr>
          <w:ilvl w:val="0"/>
          <w:numId w:val="2"/>
        </w:numPr>
        <w:spacing w:after="40" w:before="40"/>
      </w:pPr>
      <w:r>
        <w:rPr>
          <w:rFonts w:ascii="Arial" w:cs="Arial" w:eastAsia="Arial" w:hAnsi="Arial"/>
          <w:b w:val="false"/>
          <w:bCs w:val="false"/>
          <w:color w:val="1E6B2E"/>
          <w:sz w:val="20"/>
          <w:szCs w:val="20"/>
        </w:rPr>
        <w:t xml:space="preserve">Dr. Verify goes live in weeks, not quarters — no 18-month implementation nightmares</w:t>
      </w:r>
    </w:p>
    <w:p>
      <w:pPr>
        <w:pStyle w:val="ListParagraph"/>
        <w:numPr>
          <w:ilvl w:val="0"/>
          <w:numId w:val="2"/>
        </w:numPr>
        <w:spacing w:after="40" w:before="40"/>
      </w:pPr>
      <w:r>
        <w:rPr>
          <w:rFonts w:ascii="Arial" w:cs="Arial" w:eastAsia="Arial" w:hAnsi="Arial"/>
          <w:b w:val="false"/>
          <w:bCs w:val="false"/>
          <w:color w:val="1E6B2E"/>
          <w:sz w:val="20"/>
          <w:szCs w:val="20"/>
        </w:rPr>
        <w:t xml:space="preserve">Native AI data reconciliation vs. symplr's bolt-on AI layer</w:t>
      </w:r>
    </w:p>
    <w:p>
      <w:pPr>
        <w:pStyle w:val="ListParagraph"/>
        <w:numPr>
          <w:ilvl w:val="0"/>
          <w:numId w:val="2"/>
        </w:numPr>
        <w:spacing w:after="40" w:before="40"/>
      </w:pPr>
      <w:r>
        <w:rPr>
          <w:rFonts w:ascii="Arial" w:cs="Arial" w:eastAsia="Arial" w:hAnsi="Arial"/>
          <w:b w:val="false"/>
          <w:bCs w:val="false"/>
          <w:color w:val="1E6B2E"/>
          <w:sz w:val="20"/>
          <w:szCs w:val="20"/>
        </w:rPr>
        <w:t xml:space="preserve">Purpose-built for provider data management — not a feature inside a bloated suite</w:t>
      </w:r>
    </w:p>
    <w:p>
      <w:pPr>
        <w:pStyle w:val="ListParagraph"/>
        <w:numPr>
          <w:ilvl w:val="0"/>
          <w:numId w:val="2"/>
        </w:numPr>
        <w:spacing w:after="40" w:before="40"/>
      </w:pPr>
      <w:r>
        <w:rPr>
          <w:rFonts w:ascii="Arial" w:cs="Arial" w:eastAsia="Arial" w:hAnsi="Arial"/>
          <w:b w:val="false"/>
          <w:bCs w:val="false"/>
          <w:color w:val="1E6B2E"/>
          <w:sz w:val="20"/>
          <w:szCs w:val="20"/>
        </w:rPr>
        <w:t xml:space="preserve">Better fit for regional health systems, telehealth, and value-based care orgs that don't need workforce management bundled in</w:t>
      </w:r>
    </w:p>
    <w:p>
      <w:pPr>
        <w:pStyle w:val="ListParagraph"/>
        <w:numPr>
          <w:ilvl w:val="0"/>
          <w:numId w:val="2"/>
        </w:numPr>
        <w:spacing w:after="40" w:before="40"/>
      </w:pPr>
      <w:r>
        <w:rPr>
          <w:rFonts w:ascii="Arial" w:cs="Arial" w:eastAsia="Arial" w:hAnsi="Arial"/>
          <w:b w:val="false"/>
          <w:bCs w:val="false"/>
          <w:color w:val="1E6B2E"/>
          <w:sz w:val="20"/>
          <w:szCs w:val="20"/>
        </w:rPr>
        <w:t xml:space="preserve">Transparent pricing model — no hidden modules or add-on fees</w:t>
      </w:r>
    </w:p>
    <w:p>
      <w:pPr>
        <w:pStyle w:val="ListParagraph"/>
        <w:numPr>
          <w:ilvl w:val="0"/>
          <w:numId w:val="2"/>
        </w:numPr>
        <w:spacing w:after="40" w:before="40"/>
      </w:pPr>
      <w:r>
        <w:rPr>
          <w:rFonts w:ascii="Arial" w:cs="Arial" w:eastAsia="Arial" w:hAnsi="Arial"/>
          <w:b w:val="false"/>
          <w:bCs w:val="false"/>
          <w:color w:val="1E6B2E"/>
          <w:sz w:val="20"/>
          <w:szCs w:val="20"/>
        </w:rPr>
        <w:t xml:space="preserve">Anthology customer success model — not ticket-based support after go-live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Winning Talking Points</w:t>
      </w:r>
    </w:p>
    <w:p>
      <w:pPr>
        <w:spacing w:after="40" w:before="60"/>
      </w:pPr>
      <w:r>
        <w:rPr>
          <w:rFonts w:ascii="Arial" w:cs="Arial" w:eastAsia="Arial" w:hAnsi="Arial"/>
          <w:b/>
          <w:bCs/>
          <w:color w:val="1F3864"/>
          <w:sz w:val="20"/>
          <w:szCs w:val="20"/>
        </w:rPr>
        <w:t xml:space="preserve">Time to value: </w:t>
      </w:r>
      <w:r>
        <w:rPr>
          <w:rFonts w:ascii="Arial" w:cs="Arial" w:eastAsia="Arial" w:hAnsi="Arial"/>
          <w:sz w:val="20"/>
          <w:szCs w:val="20"/>
        </w:rPr>
        <w:t xml:space="preserve">symplr implementations regularly run 12–18 months. Dr. Verify customers are live and processing verifications in 6–10 weeks. When was the last time a vendor actually delivered on time?</w:t>
      </w:r>
    </w:p>
    <w:p>
      <w:pPr>
        <w:spacing w:after="40" w:before="60"/>
      </w:pPr>
      <w:r>
        <w:rPr>
          <w:rFonts w:ascii="Arial" w:cs="Arial" w:eastAsia="Arial" w:hAnsi="Arial"/>
          <w:b/>
          <w:bCs/>
          <w:color w:val="1F3864"/>
          <w:sz w:val="20"/>
          <w:szCs w:val="20"/>
        </w:rPr>
        <w:t xml:space="preserve">Real AI vs. marketing AI: </w:t>
      </w:r>
      <w:r>
        <w:rPr>
          <w:rFonts w:ascii="Arial" w:cs="Arial" w:eastAsia="Arial" w:hAnsi="Arial"/>
          <w:sz w:val="20"/>
          <w:szCs w:val="20"/>
        </w:rPr>
        <w:t xml:space="preserve">symplr talks about AI but their HCIM platform predates the AI era. Dr. Verify's data reconciliation engine is built AI-first — it identifies discrepancies across NPDB, state licensing boards, and primary sources in real time, not batch processing.</w:t>
      </w:r>
    </w:p>
    <w:p>
      <w:pPr>
        <w:spacing w:after="40" w:before="60"/>
      </w:pPr>
      <w:r>
        <w:rPr>
          <w:rFonts w:ascii="Arial" w:cs="Arial" w:eastAsia="Arial" w:hAnsi="Arial"/>
          <w:b/>
          <w:bCs/>
          <w:color w:val="1F3864"/>
          <w:sz w:val="20"/>
          <w:szCs w:val="20"/>
        </w:rPr>
        <w:t xml:space="preserve">Right-size fit: </w:t>
      </w:r>
      <w:r>
        <w:rPr>
          <w:rFonts w:ascii="Arial" w:cs="Arial" w:eastAsia="Arial" w:hAnsi="Arial"/>
          <w:sz w:val="20"/>
          <w:szCs w:val="20"/>
        </w:rPr>
        <w:t xml:space="preserve">symplr is built for 10,000-provider IDNs. If you're a regional health system or multispecialty group, you're paying for capabilities you'll never use. Dr. Verify is purpose-built for your scale and your workflows.</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Landmines to Plant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 does your credentialing data look like across disparate EHRs — how confident are you in data accuracy today?'</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'Have you scoped what a symplr implementation actually requires in internal IT and project management resources?'</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'What's your current turnaround time on initial credentialing for a new provider?'</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Objection Handling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Objection</w:t>
            </w:r>
          </w:p>
        </w:tc>
        <w:tc>
          <w:tcPr>
            <w:tcW w:type="dxa" w:w="624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Dr. Verify Response</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symplr is our incumbent — switching is risky.</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We understand. What's the risk of staying? If your credentialing error rate is above 3%, a compliance event or delayed provider start costs more than a migration. Dr. Verify's migration toolkit is purpose-built to minimize disruption.</w:t>
            </w:r>
          </w:p>
        </w:tc>
      </w:tr>
      <w:tr>
        <w:tc>
          <w:tcPr>
            <w:tcW w:type="dxa" w:w="312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i/>
                <w:iCs/>
                <w:sz w:val="19"/>
                <w:szCs w:val="19"/>
              </w:rPr>
              <w:t xml:space="preserve">symplr has more features.</w:t>
            </w:r>
          </w:p>
        </w:tc>
        <w:tc>
          <w:tcPr>
            <w:tcW w:type="dxa" w:w="62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19"/>
                <w:szCs w:val="19"/>
              </w:rPr>
              <w:t xml:space="preserve">More features aren't better features. Dr. Verify does one thing exceptionally well — provider data management and verification. symplr's credentialing module is one of 11 products. Which team gets prioritized when you submit a support ticket?</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We're mid-RFP with symplr.</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Perfect timing. Ask them to demo their AI data reconciliation against live primary source data — not a pre-staged environment. Then ask the same of us. Let the product speak.</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Discovery Questions to Ask</w:t>
      </w:r>
    </w:p>
    <w:p>
      <w:pPr>
        <w:pStyle w:val="ListParagraph"/>
        <w:numPr>
          <w:ilvl w:val="0"/>
          <w:numId w:val="2"/>
        </w:numPr>
        <w:spacing w:after="40" w:before="40"/>
      </w:pPr>
      <w:r>
        <w:rPr>
          <w:rFonts w:ascii="Arial" w:cs="Arial" w:eastAsia="Arial" w:hAnsi="Arial"/>
          <w:b w:val="false"/>
          <w:bCs w:val="false"/>
          <w:color w:val="000000"/>
          <w:sz w:val="20"/>
          <w:szCs w:val="20"/>
        </w:rPr>
        <w:t xml:space="preserve">What's your current average time-to-credential for a net new provider?</w:t>
      </w:r>
    </w:p>
    <w:p>
      <w:pPr>
        <w:pStyle w:val="ListParagraph"/>
        <w:numPr>
          <w:ilvl w:val="0"/>
          <w:numId w:val="2"/>
        </w:numPr>
        <w:spacing w:after="40" w:before="40"/>
      </w:pPr>
      <w:r>
        <w:rPr>
          <w:rFonts w:ascii="Arial" w:cs="Arial" w:eastAsia="Arial" w:hAnsi="Arial"/>
          <w:b w:val="false"/>
          <w:bCs w:val="false"/>
          <w:color w:val="000000"/>
          <w:sz w:val="20"/>
          <w:szCs w:val="20"/>
        </w:rPr>
        <w:t xml:space="preserve">How many FTEs are dedicated to manual verification and data reconciliation today?</w:t>
      </w:r>
    </w:p>
    <w:p>
      <w:pPr>
        <w:pStyle w:val="ListParagraph"/>
        <w:numPr>
          <w:ilvl w:val="0"/>
          <w:numId w:val="2"/>
        </w:numPr>
        <w:spacing w:after="40" w:before="40"/>
      </w:pPr>
      <w:r>
        <w:rPr>
          <w:rFonts w:ascii="Arial" w:cs="Arial" w:eastAsia="Arial" w:hAnsi="Arial"/>
          <w:b w:val="false"/>
          <w:bCs w:val="false"/>
          <w:color w:val="000000"/>
          <w:sz w:val="20"/>
          <w:szCs w:val="20"/>
        </w:rPr>
        <w:t xml:space="preserve">What systems does your provider data live in — how many sources of truth do you currently manage?</w:t>
      </w:r>
    </w:p>
    <w:p>
      <w:pPr>
        <w:pStyle w:val="ListParagraph"/>
        <w:numPr>
          <w:ilvl w:val="0"/>
          <w:numId w:val="2"/>
        </w:numPr>
        <w:spacing w:after="40" w:before="40"/>
      </w:pPr>
      <w:r>
        <w:rPr>
          <w:rFonts w:ascii="Arial" w:cs="Arial" w:eastAsia="Arial" w:hAnsi="Arial"/>
          <w:b w:val="false"/>
          <w:bCs w:val="false"/>
          <w:color w:val="000000"/>
          <w:sz w:val="20"/>
          <w:szCs w:val="20"/>
        </w:rPr>
        <w:t xml:space="preserve">Have you experienced a compliance audit in the last 24 months — what did that surface about data integrity?</w:t>
      </w:r>
    </w:p>
    <w:p>
      <w:pPr>
        <w:pStyle w:val="ListParagraph"/>
        <w:numPr>
          <w:ilvl w:val="0"/>
          <w:numId w:val="2"/>
        </w:numPr>
        <w:spacing w:after="40" w:before="40"/>
      </w:pPr>
      <w:r>
        <w:rPr>
          <w:rFonts w:ascii="Arial" w:cs="Arial" w:eastAsia="Arial" w:hAnsi="Arial"/>
          <w:b w:val="false"/>
          <w:bCs w:val="false"/>
          <w:color w:val="000000"/>
          <w:sz w:val="20"/>
          <w:szCs w:val="20"/>
        </w:rPr>
        <w:t xml:space="preserve">Who owns the credentialing process today — Medical Staff Office, HR, or a hybrid? What pain do they live with daily?</w:t>
      </w:r>
    </w:p>
    <w:p>
      <w:pPr>
        <w:spacing w:after="80" w:before="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spacing w:after="40" w:before="0"/>
            </w:pPr>
            <w:r>
              <w:rPr>
                <w:rFonts w:ascii="Arial" w:cs="Arial" w:eastAsia="Arial" w:hAnsi="Arial"/>
                <w:b/>
                <w:bCs/>
                <w:color w:val="FFFFFF"/>
                <w:sz w:val="40"/>
                <w:szCs w:val="40"/>
              </w:rPr>
              <w:t xml:space="preserve">vs. Modio Health</w:t>
            </w:r>
          </w:p>
          <w:p>
            <w:pPr>
              <w:spacing w:after="0" w:before="0"/>
            </w:pPr>
            <w:r>
              <w:rPr>
                <w:rFonts w:ascii="Arial" w:cs="Arial" w:eastAsia="Arial" w:hAnsi="Arial"/>
                <w:i/>
                <w:iCs/>
                <w:color w:val="BDD7EE"/>
                <w:sz w:val="22"/>
                <w:szCs w:val="22"/>
              </w:rPr>
              <w:t xml:space="preserve">When they lead with clinician experience — counter with enterprise data depth and compliance.</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Competitor Snapshot</w:t>
      </w:r>
    </w:p>
    <w:p>
      <w:pPr>
        <w:spacing w:after="80" w:before="60"/>
      </w:pPr>
      <w:r>
        <w:rPr>
          <w:rFonts w:ascii="Arial" w:cs="Arial" w:eastAsia="Arial" w:hAnsi="Arial"/>
          <w:sz w:val="20"/>
          <w:szCs w:val="20"/>
        </w:rPr>
        <w:t xml:space="preserve">Modio Health (acquired by One Medical/Amazon, now operating independently) positions as a clinician-first credentialing platform with a clean mobile UX and a OneView provider profile. It gained traction in ambulatory care, telehealth, and physician group settings. However, Modio's strength — clinician self-service — is also its ceiling: it lacks the enterprise data governance, primary source verification depth, and payer enrollment automation that complex health systems require.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Strengths vs. Weaknesses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4"/>
              <w:left w:val="single" w:color="2E75B6" w:sz="4"/>
              <w:bottom w:val="single" w:color="2E75B6" w:sz="4"/>
              <w:right w:val="single" w:color="2E75B6" w:sz="4"/>
            </w:tcBorders>
            <w:shd w:fill="D6E4F0" w:val="clear"/>
            <w:tcMar>
              <w:top w:type="dxa" w:w="80"/>
              <w:left w:type="dxa" w:w="120"/>
              <w:bottom w:type="dxa" w:w="80"/>
              <w:right w:type="dxa" w:w="120"/>
            </w:tcMar>
          </w:tcPr>
          <w:p>
            <w:r>
              <w:rPr>
                <w:rFonts w:ascii="Arial" w:cs="Arial" w:eastAsia="Arial" w:hAnsi="Arial"/>
                <w:b/>
                <w:bCs/>
                <w:color w:val="1F3864"/>
                <w:sz w:val="22"/>
                <w:szCs w:val="22"/>
              </w:rPr>
              <w:t xml:space="preserve">✅ Modio Health Strengths</w:t>
            </w:r>
          </w:p>
        </w:tc>
        <w:tc>
          <w:tcPr>
            <w:tcW w:type="dxa" w:w="4680"/>
            <w:tcBorders>
              <w:top w:val="single" w:color="C00000" w:sz="4"/>
              <w:left w:val="single" w:color="C00000" w:sz="4"/>
              <w:bottom w:val="single" w:color="C00000" w:sz="4"/>
              <w:right w:val="single" w:color="C00000" w:sz="4"/>
            </w:tcBorders>
            <w:shd w:fill="FCE4D6" w:val="clear"/>
            <w:tcMar>
              <w:top w:type="dxa" w:w="80"/>
              <w:left w:type="dxa" w:w="120"/>
              <w:bottom w:type="dxa" w:w="80"/>
              <w:right w:type="dxa" w:w="120"/>
            </w:tcMar>
          </w:tcPr>
          <w:p>
            <w:r>
              <w:rPr>
                <w:rFonts w:ascii="Arial" w:cs="Arial" w:eastAsia="Arial" w:hAnsi="Arial"/>
                <w:b/>
                <w:bCs/>
                <w:color w:val="C00000"/>
                <w:sz w:val="22"/>
                <w:szCs w:val="22"/>
              </w:rPr>
              <w:t xml:space="preserve">❌ Modio Health Weaknesses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Clean, modern UI — strong clinician adoption rates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Shallow primary source verification — relies heavily on provider self-reporting</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OneView profile simplifies provider data collection</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Weak payer enrollment and privileging automation</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Good fit for telehealth and ambulatory physician groups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Limited analytics and compliance reporting</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Fast initial deployment for smaller organizations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Not built for complex credentialing governance at scale</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Strong mobile experience for providers on the go</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Post-acquisition uncertainty (Amazon/One Medical ownership questions)</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Where Dr. Verify Wins</w:t>
      </w:r>
    </w:p>
    <w:p>
      <w:pPr>
        <w:pStyle w:val="ListParagraph"/>
        <w:numPr>
          <w:ilvl w:val="0"/>
          <w:numId w:val="2"/>
        </w:numPr>
        <w:spacing w:after="40" w:before="40"/>
      </w:pPr>
      <w:r>
        <w:rPr>
          <w:rFonts w:ascii="Arial" w:cs="Arial" w:eastAsia="Arial" w:hAnsi="Arial"/>
          <w:b w:val="false"/>
          <w:bCs w:val="false"/>
          <w:color w:val="1E6B2E"/>
          <w:sz w:val="20"/>
          <w:szCs w:val="20"/>
        </w:rPr>
        <w:t xml:space="preserve">Dr. Verify automates primary source verification — not just provider self-reporting</w:t>
      </w:r>
    </w:p>
    <w:p>
      <w:pPr>
        <w:pStyle w:val="ListParagraph"/>
        <w:numPr>
          <w:ilvl w:val="0"/>
          <w:numId w:val="2"/>
        </w:numPr>
        <w:spacing w:after="40" w:before="40"/>
      </w:pPr>
      <w:r>
        <w:rPr>
          <w:rFonts w:ascii="Arial" w:cs="Arial" w:eastAsia="Arial" w:hAnsi="Arial"/>
          <w:b w:val="false"/>
          <w:bCs w:val="false"/>
          <w:color w:val="1E6B2E"/>
          <w:sz w:val="20"/>
          <w:szCs w:val="20"/>
        </w:rPr>
        <w:t xml:space="preserve">Payer enrollment automation built-in — Modio requires manual handoffs</w:t>
      </w:r>
    </w:p>
    <w:p>
      <w:pPr>
        <w:pStyle w:val="ListParagraph"/>
        <w:numPr>
          <w:ilvl w:val="0"/>
          <w:numId w:val="2"/>
        </w:numPr>
        <w:spacing w:after="40" w:before="40"/>
      </w:pPr>
      <w:r>
        <w:rPr>
          <w:rFonts w:ascii="Arial" w:cs="Arial" w:eastAsia="Arial" w:hAnsi="Arial"/>
          <w:b w:val="false"/>
          <w:bCs w:val="false"/>
          <w:color w:val="1E6B2E"/>
          <w:sz w:val="20"/>
          <w:szCs w:val="20"/>
        </w:rPr>
        <w:t xml:space="preserve">Enterprise compliance reporting and audit trails for NCQA, URAC, TJC</w:t>
      </w:r>
    </w:p>
    <w:p>
      <w:pPr>
        <w:pStyle w:val="ListParagraph"/>
        <w:numPr>
          <w:ilvl w:val="0"/>
          <w:numId w:val="2"/>
        </w:numPr>
        <w:spacing w:after="40" w:before="40"/>
      </w:pPr>
      <w:r>
        <w:rPr>
          <w:rFonts w:ascii="Arial" w:cs="Arial" w:eastAsia="Arial" w:hAnsi="Arial"/>
          <w:b w:val="false"/>
          <w:bCs w:val="false"/>
          <w:color w:val="1E6B2E"/>
          <w:sz w:val="20"/>
          <w:szCs w:val="20"/>
        </w:rPr>
        <w:t xml:space="preserve">Handles complex credentialing governance across multiple facilities and payer contracts</w:t>
      </w:r>
    </w:p>
    <w:p>
      <w:pPr>
        <w:pStyle w:val="ListParagraph"/>
        <w:numPr>
          <w:ilvl w:val="0"/>
          <w:numId w:val="2"/>
        </w:numPr>
        <w:spacing w:after="40" w:before="40"/>
      </w:pPr>
      <w:r>
        <w:rPr>
          <w:rFonts w:ascii="Arial" w:cs="Arial" w:eastAsia="Arial" w:hAnsi="Arial"/>
          <w:b w:val="false"/>
          <w:bCs w:val="false"/>
          <w:color w:val="1E6B2E"/>
          <w:sz w:val="20"/>
          <w:szCs w:val="20"/>
        </w:rPr>
        <w:t xml:space="preserve">Purpose-built for health systems that need more than a 'profile manager'</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Winning Talking Points</w:t>
      </w:r>
    </w:p>
    <w:p>
      <w:pPr>
        <w:spacing w:after="40" w:before="60"/>
      </w:pPr>
      <w:r>
        <w:rPr>
          <w:rFonts w:ascii="Arial" w:cs="Arial" w:eastAsia="Arial" w:hAnsi="Arial"/>
          <w:b/>
          <w:bCs/>
          <w:color w:val="1F3864"/>
          <w:sz w:val="20"/>
          <w:szCs w:val="20"/>
        </w:rPr>
        <w:t xml:space="preserve">Self-reporting vs. verification: </w:t>
      </w:r>
      <w:r>
        <w:rPr>
          <w:rFonts w:ascii="Arial" w:cs="Arial" w:eastAsia="Arial" w:hAnsi="Arial"/>
          <w:sz w:val="20"/>
          <w:szCs w:val="20"/>
        </w:rPr>
        <w:t xml:space="preserve">Modio's OneView profile is a convenient data collection tool — but it doesn't verify. Dr. Verify's engine cross-references NPDB, state boards, DEA, OIG, and specialty boards automatically. The difference is: data collected vs. data confirmed.</w:t>
      </w:r>
    </w:p>
    <w:p>
      <w:pPr>
        <w:spacing w:after="40" w:before="60"/>
      </w:pPr>
      <w:r>
        <w:rPr>
          <w:rFonts w:ascii="Arial" w:cs="Arial" w:eastAsia="Arial" w:hAnsi="Arial"/>
          <w:b/>
          <w:bCs/>
          <w:color w:val="1F3864"/>
          <w:sz w:val="20"/>
          <w:szCs w:val="20"/>
        </w:rPr>
        <w:t xml:space="preserve">Compliance depth: </w:t>
      </w:r>
      <w:r>
        <w:rPr>
          <w:rFonts w:ascii="Arial" w:cs="Arial" w:eastAsia="Arial" w:hAnsi="Arial"/>
          <w:sz w:val="20"/>
          <w:szCs w:val="20"/>
        </w:rPr>
        <w:t xml:space="preserve">When your compliance officer or accreditation body asks for primary source documentation, Modio produces a profile. Dr. Verify produces a verified audit trail with timestamps, source citations, and discrepancy flags.</w:t>
      </w:r>
    </w:p>
    <w:p>
      <w:pPr>
        <w:spacing w:after="40" w:before="60"/>
      </w:pPr>
      <w:r>
        <w:rPr>
          <w:rFonts w:ascii="Arial" w:cs="Arial" w:eastAsia="Arial" w:hAnsi="Arial"/>
          <w:b/>
          <w:bCs/>
          <w:color w:val="1F3864"/>
          <w:sz w:val="20"/>
          <w:szCs w:val="20"/>
        </w:rPr>
        <w:t xml:space="preserve">Scale story: </w:t>
      </w:r>
      <w:r>
        <w:rPr>
          <w:rFonts w:ascii="Arial" w:cs="Arial" w:eastAsia="Arial" w:hAnsi="Arial"/>
          <w:sz w:val="20"/>
          <w:szCs w:val="20"/>
        </w:rPr>
        <w:t xml:space="preserve">Modio was built for physician groups of 50–200 providers. If you're managing 500+ providers across multiple facilities, you'll outgrow Modio fast. Dr. Verify scales without requiring additional headcount or workflow duct-tape.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Landmines to Plant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 percentage of your provider data today is self-reported vs. primary-source verified?'</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'How does your current system handle discrepancies between provider-submitted data and what a primary source returns?'</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 happens to your credentialing workflow when a provider's license lapses and you find out late?'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Objection Handling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Objection</w:t>
            </w:r>
          </w:p>
        </w:tc>
        <w:tc>
          <w:tcPr>
            <w:tcW w:type="dxa" w:w="624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Dr. Verify Response</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Clinicians love Modio's UX.</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Great — and Dr. Verify's provider portal is equally intuitive. But UX is table stakes. The question is: what happens on the backend? Modio looks clean on the surface; Dr. Verify verifies what's underneath.</w:t>
            </w:r>
          </w:p>
        </w:tc>
      </w:tr>
      <w:tr>
        <w:tc>
          <w:tcPr>
            <w:tcW w:type="dxa" w:w="312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i/>
                <w:iCs/>
                <w:sz w:val="19"/>
                <w:szCs w:val="19"/>
              </w:rPr>
              <w:t xml:space="preserve">We're a small group — Modio is enough for us.</w:t>
            </w:r>
          </w:p>
        </w:tc>
        <w:tc>
          <w:tcPr>
            <w:tcW w:type="dxa" w:w="62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19"/>
                <w:szCs w:val="19"/>
              </w:rPr>
              <w:t xml:space="preserve">Today, maybe. But if you're adding providers, expanding to new states, or entering new payer contracts, you'll need verification depth Modio can't provide. Dr. Verify grows with you.</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Modio is cheaper.</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Modio's per-seat cost looks attractive until you factor in the manual verification labor your team still has to do. What's the fully-loaded cost of a credentialing coordinator spending 40% of their time on tasks Dr. Verify automates?</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Discovery Questions to Ask</w:t>
      </w:r>
    </w:p>
    <w:p>
      <w:pPr>
        <w:pStyle w:val="ListParagraph"/>
        <w:numPr>
          <w:ilvl w:val="0"/>
          <w:numId w:val="2"/>
        </w:numPr>
        <w:spacing w:after="40" w:before="40"/>
      </w:pPr>
      <w:r>
        <w:rPr>
          <w:rFonts w:ascii="Arial" w:cs="Arial" w:eastAsia="Arial" w:hAnsi="Arial"/>
          <w:b w:val="false"/>
          <w:bCs w:val="false"/>
          <w:color w:val="000000"/>
          <w:sz w:val="20"/>
          <w:szCs w:val="20"/>
        </w:rPr>
        <w:t xml:space="preserve">Who currently does your primary source verification — internal staff or a vendor?</w:t>
      </w:r>
    </w:p>
    <w:p>
      <w:pPr>
        <w:pStyle w:val="ListParagraph"/>
        <w:numPr>
          <w:ilvl w:val="0"/>
          <w:numId w:val="2"/>
        </w:numPr>
        <w:spacing w:after="40" w:before="40"/>
      </w:pPr>
      <w:r>
        <w:rPr>
          <w:rFonts w:ascii="Arial" w:cs="Arial" w:eastAsia="Arial" w:hAnsi="Arial"/>
          <w:b w:val="false"/>
          <w:bCs w:val="false"/>
          <w:color w:val="000000"/>
          <w:sz w:val="20"/>
          <w:szCs w:val="20"/>
        </w:rPr>
        <w:t xml:space="preserve">What's your process when a provider's credentialing status changes mid-cycle?</w:t>
      </w:r>
    </w:p>
    <w:p>
      <w:pPr>
        <w:pStyle w:val="ListParagraph"/>
        <w:numPr>
          <w:ilvl w:val="0"/>
          <w:numId w:val="2"/>
        </w:numPr>
        <w:spacing w:after="40" w:before="40"/>
      </w:pPr>
      <w:r>
        <w:rPr>
          <w:rFonts w:ascii="Arial" w:cs="Arial" w:eastAsia="Arial" w:hAnsi="Arial"/>
          <w:b w:val="false"/>
          <w:bCs w:val="false"/>
          <w:color w:val="000000"/>
          <w:sz w:val="20"/>
          <w:szCs w:val="20"/>
        </w:rPr>
        <w:t xml:space="preserve">Are you NCQA-certified or pursuing accreditation — what does your audit preparation look like?</w:t>
      </w:r>
    </w:p>
    <w:p>
      <w:pPr>
        <w:pStyle w:val="ListParagraph"/>
        <w:numPr>
          <w:ilvl w:val="0"/>
          <w:numId w:val="2"/>
        </w:numPr>
        <w:spacing w:after="40" w:before="40"/>
      </w:pPr>
      <w:r>
        <w:rPr>
          <w:rFonts w:ascii="Arial" w:cs="Arial" w:eastAsia="Arial" w:hAnsi="Arial"/>
          <w:b w:val="false"/>
          <w:bCs w:val="false"/>
          <w:color w:val="000000"/>
          <w:sz w:val="20"/>
          <w:szCs w:val="20"/>
        </w:rPr>
        <w:t xml:space="preserve">How do you manage payer enrollment across your provider panel today?</w:t>
      </w:r>
    </w:p>
    <w:p>
      <w:pPr>
        <w:pStyle w:val="ListParagraph"/>
        <w:numPr>
          <w:ilvl w:val="0"/>
          <w:numId w:val="2"/>
        </w:numPr>
        <w:spacing w:after="40" w:before="40"/>
      </w:pPr>
      <w:r>
        <w:rPr>
          <w:rFonts w:ascii="Arial" w:cs="Arial" w:eastAsia="Arial" w:hAnsi="Arial"/>
          <w:b w:val="false"/>
          <w:bCs w:val="false"/>
          <w:color w:val="000000"/>
          <w:sz w:val="20"/>
          <w:szCs w:val="20"/>
        </w:rPr>
        <w:t xml:space="preserve">What would it mean operationally if you could reduce time-to-credential by 40%?</w:t>
      </w:r>
    </w:p>
    <w:p>
      <w:pPr>
        <w:spacing w:after="80" w:before="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spacing w:after="40" w:before="0"/>
            </w:pPr>
            <w:r>
              <w:rPr>
                <w:rFonts w:ascii="Arial" w:cs="Arial" w:eastAsia="Arial" w:hAnsi="Arial"/>
                <w:b/>
                <w:bCs/>
                <w:color w:val="FFFFFF"/>
                <w:sz w:val="40"/>
                <w:szCs w:val="40"/>
              </w:rPr>
              <w:t xml:space="preserve">vs. Medallion</w:t>
            </w:r>
          </w:p>
          <w:p>
            <w:pPr>
              <w:spacing w:after="0" w:before="0"/>
            </w:pPr>
            <w:r>
              <w:rPr>
                <w:rFonts w:ascii="Arial" w:cs="Arial" w:eastAsia="Arial" w:hAnsi="Arial"/>
                <w:i/>
                <w:iCs/>
                <w:color w:val="BDD7EE"/>
                <w:sz w:val="22"/>
                <w:szCs w:val="22"/>
              </w:rPr>
              <w:t xml:space="preserve">When they lead with modern tech and VC backing — counter with proven outcomes and enterprise depth.</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Competitor Snapshot</w:t>
      </w:r>
    </w:p>
    <w:p>
      <w:pPr>
        <w:spacing w:after="80" w:before="60"/>
      </w:pPr>
      <w:r>
        <w:rPr>
          <w:rFonts w:ascii="Arial" w:cs="Arial" w:eastAsia="Arial" w:hAnsi="Arial"/>
          <w:sz w:val="20"/>
          <w:szCs w:val="20"/>
        </w:rPr>
        <w:t xml:space="preserve">Medallion is a venture-backed provider operations platform that has rapidly expanded from credentialing into payer enrollment, licensing, and provider data management. Founded in 2020, Medallion has strong GTM momentum, a modern tech stack, and high NPS scores in mid-market. However, it's still maturing — enterprise governance, complex multi-state licensing scenarios, and deep compliance reporting are areas where Medallion's product hasn't caught up to its marketing narrative.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Strengths vs. Weaknesses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4"/>
              <w:left w:val="single" w:color="2E75B6" w:sz="4"/>
              <w:bottom w:val="single" w:color="2E75B6" w:sz="4"/>
              <w:right w:val="single" w:color="2E75B6" w:sz="4"/>
            </w:tcBorders>
            <w:shd w:fill="D6E4F0" w:val="clear"/>
            <w:tcMar>
              <w:top w:type="dxa" w:w="80"/>
              <w:left w:type="dxa" w:w="120"/>
              <w:bottom w:type="dxa" w:w="80"/>
              <w:right w:type="dxa" w:w="120"/>
            </w:tcMar>
          </w:tcPr>
          <w:p>
            <w:r>
              <w:rPr>
                <w:rFonts w:ascii="Arial" w:cs="Arial" w:eastAsia="Arial" w:hAnsi="Arial"/>
                <w:b/>
                <w:bCs/>
                <w:color w:val="1F3864"/>
                <w:sz w:val="22"/>
                <w:szCs w:val="22"/>
              </w:rPr>
              <w:t xml:space="preserve">✅ Medallion Strengths</w:t>
            </w:r>
          </w:p>
        </w:tc>
        <w:tc>
          <w:tcPr>
            <w:tcW w:type="dxa" w:w="4680"/>
            <w:tcBorders>
              <w:top w:val="single" w:color="C00000" w:sz="4"/>
              <w:left w:val="single" w:color="C00000" w:sz="4"/>
              <w:bottom w:val="single" w:color="C00000" w:sz="4"/>
              <w:right w:val="single" w:color="C00000" w:sz="4"/>
            </w:tcBorders>
            <w:shd w:fill="FCE4D6" w:val="clear"/>
            <w:tcMar>
              <w:top w:type="dxa" w:w="80"/>
              <w:left w:type="dxa" w:w="120"/>
              <w:bottom w:type="dxa" w:w="80"/>
              <w:right w:type="dxa" w:w="120"/>
            </w:tcMar>
          </w:tcPr>
          <w:p>
            <w:r>
              <w:rPr>
                <w:rFonts w:ascii="Arial" w:cs="Arial" w:eastAsia="Arial" w:hAnsi="Arial"/>
                <w:b/>
                <w:bCs/>
                <w:color w:val="C00000"/>
                <w:sz w:val="22"/>
                <w:szCs w:val="22"/>
              </w:rPr>
              <w:t xml:space="preserve">❌ Medallion Weaknesses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Modern, well-designed product with strong NPS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Founded 2020 — limited enterprise track record</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Strong VC backing and rapid feature velocity</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Compliance reporting and audit trails are thin</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Good payer enrollment automation</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Multi-state licensing complexity is underbuilt</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Gaining traction in digital health and telehealth</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AI features are early-stage / largely workflow automation</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Transparent, consumption-based pricing model</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Limited integrations with legacy EHRs and credentialing systems</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Where Dr. Verify Wins</w:t>
      </w:r>
    </w:p>
    <w:p>
      <w:pPr>
        <w:pStyle w:val="ListParagraph"/>
        <w:numPr>
          <w:ilvl w:val="0"/>
          <w:numId w:val="2"/>
        </w:numPr>
        <w:spacing w:after="40" w:before="40"/>
      </w:pPr>
      <w:r>
        <w:rPr>
          <w:rFonts w:ascii="Arial" w:cs="Arial" w:eastAsia="Arial" w:hAnsi="Arial"/>
          <w:b w:val="false"/>
          <w:bCs w:val="false"/>
          <w:color w:val="1E6B2E"/>
          <w:sz w:val="20"/>
          <w:szCs w:val="20"/>
        </w:rPr>
        <w:t xml:space="preserve">ECosmos has 450+ enterprise customers — Medallion is still proving the model</w:t>
      </w:r>
    </w:p>
    <w:p>
      <w:pPr>
        <w:pStyle w:val="ListParagraph"/>
        <w:numPr>
          <w:ilvl w:val="0"/>
          <w:numId w:val="2"/>
        </w:numPr>
        <w:spacing w:after="40" w:before="40"/>
      </w:pPr>
      <w:r>
        <w:rPr>
          <w:rFonts w:ascii="Arial" w:cs="Arial" w:eastAsia="Arial" w:hAnsi="Arial"/>
          <w:b w:val="false"/>
          <w:bCs w:val="false"/>
          <w:color w:val="1E6B2E"/>
          <w:sz w:val="20"/>
          <w:szCs w:val="20"/>
        </w:rPr>
        <w:t xml:space="preserve">Dr. Verify has deep NCQA/URAC/TJC compliance documentation support</w:t>
      </w:r>
    </w:p>
    <w:p>
      <w:pPr>
        <w:pStyle w:val="ListParagraph"/>
        <w:numPr>
          <w:ilvl w:val="0"/>
          <w:numId w:val="2"/>
        </w:numPr>
        <w:spacing w:after="40" w:before="40"/>
      </w:pPr>
      <w:r>
        <w:rPr>
          <w:rFonts w:ascii="Arial" w:cs="Arial" w:eastAsia="Arial" w:hAnsi="Arial"/>
          <w:b w:val="false"/>
          <w:bCs w:val="false"/>
          <w:color w:val="1E6B2E"/>
          <w:sz w:val="20"/>
          <w:szCs w:val="20"/>
        </w:rPr>
        <w:t xml:space="preserve">Multi-state licensing management is a core Dr. Verify capability, not a roadmap item</w:t>
      </w:r>
    </w:p>
    <w:p>
      <w:pPr>
        <w:pStyle w:val="ListParagraph"/>
        <w:numPr>
          <w:ilvl w:val="0"/>
          <w:numId w:val="2"/>
        </w:numPr>
        <w:spacing w:after="40" w:before="40"/>
      </w:pPr>
      <w:r>
        <w:rPr>
          <w:rFonts w:ascii="Arial" w:cs="Arial" w:eastAsia="Arial" w:hAnsi="Arial"/>
          <w:b w:val="false"/>
          <w:bCs w:val="false"/>
          <w:color w:val="1E6B2E"/>
          <w:sz w:val="20"/>
          <w:szCs w:val="20"/>
        </w:rPr>
        <w:t xml:space="preserve">Real AI-driven data reconciliation vs. Medallion's workflow automation</w:t>
      </w:r>
    </w:p>
    <w:p>
      <w:pPr>
        <w:pStyle w:val="ListParagraph"/>
        <w:numPr>
          <w:ilvl w:val="0"/>
          <w:numId w:val="2"/>
        </w:numPr>
        <w:spacing w:after="40" w:before="40"/>
      </w:pPr>
      <w:r>
        <w:rPr>
          <w:rFonts w:ascii="Arial" w:cs="Arial" w:eastAsia="Arial" w:hAnsi="Arial"/>
          <w:b w:val="false"/>
          <w:bCs w:val="false"/>
          <w:color w:val="1E6B2E"/>
          <w:sz w:val="20"/>
          <w:szCs w:val="20"/>
        </w:rPr>
        <w:t xml:space="preserve">Proven Anthem/Elevance Health-scale deployments vs. Medallion's mid-market focus</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Winning Talking Points</w:t>
      </w:r>
    </w:p>
    <w:p>
      <w:pPr>
        <w:spacing w:after="40" w:before="60"/>
      </w:pPr>
      <w:r>
        <w:rPr>
          <w:rFonts w:ascii="Arial" w:cs="Arial" w:eastAsia="Arial" w:hAnsi="Arial"/>
          <w:b/>
          <w:bCs/>
          <w:color w:val="1F3864"/>
          <w:sz w:val="20"/>
          <w:szCs w:val="20"/>
        </w:rPr>
        <w:t xml:space="preserve">Proven at scale: </w:t>
      </w:r>
      <w:r>
        <w:rPr>
          <w:rFonts w:ascii="Arial" w:cs="Arial" w:eastAsia="Arial" w:hAnsi="Arial"/>
          <w:sz w:val="20"/>
          <w:szCs w:val="20"/>
        </w:rPr>
        <w:t xml:space="preserve">Medallion's customer logos are impressive for a 4-year-old company. Dr. Verify runs credentialing operations for Anthem/Elevance Health — one of the largest payers in the country. When your accreditation is on the line, who do you trust?</w:t>
      </w:r>
    </w:p>
    <w:p>
      <w:pPr>
        <w:spacing w:after="40" w:before="60"/>
      </w:pPr>
      <w:r>
        <w:rPr>
          <w:rFonts w:ascii="Arial" w:cs="Arial" w:eastAsia="Arial" w:hAnsi="Arial"/>
          <w:b/>
          <w:bCs/>
          <w:color w:val="1F3864"/>
          <w:sz w:val="20"/>
          <w:szCs w:val="20"/>
        </w:rPr>
        <w:t xml:space="preserve">Compliance is not an afterthought: </w:t>
      </w:r>
      <w:r>
        <w:rPr>
          <w:rFonts w:ascii="Arial" w:cs="Arial" w:eastAsia="Arial" w:hAnsi="Arial"/>
          <w:sz w:val="20"/>
          <w:szCs w:val="20"/>
        </w:rPr>
        <w:t xml:space="preserve">Medallion is iterating fast. But NCQA audit preparation, TJC compliance trails, and CMS primary source requirements can't be in 'beta.' Dr. Verify's compliance framework has been battle-tested across 450+ enterprise deployments.</w:t>
      </w:r>
    </w:p>
    <w:p>
      <w:pPr>
        <w:spacing w:after="40" w:before="60"/>
      </w:pPr>
      <w:r>
        <w:rPr>
          <w:rFonts w:ascii="Arial" w:cs="Arial" w:eastAsia="Arial" w:hAnsi="Arial"/>
          <w:b/>
          <w:bCs/>
          <w:color w:val="1F3864"/>
          <w:sz w:val="20"/>
          <w:szCs w:val="20"/>
        </w:rPr>
        <w:t xml:space="preserve">AI that verifies, not just automates: </w:t>
      </w:r>
      <w:r>
        <w:rPr>
          <w:rFonts w:ascii="Arial" w:cs="Arial" w:eastAsia="Arial" w:hAnsi="Arial"/>
          <w:sz w:val="20"/>
          <w:szCs w:val="20"/>
        </w:rPr>
        <w:t xml:space="preserve">Medallion automates workflow routing. Dr. Verify's AI reconciles data — it flags discrepancies between what a provider submitted and what primary sources return, in real time. That's the difference between faster process and higher accuracy.</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Landmines to Plant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'Has Medallion supported a full NCQA or TJC audit — can they show you documentation from a live audit?'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'What's their roadmap for multi-state license monitoring — is it live or is it on the roadmap?'</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'What's their customer count above 1,000 providers — and how long have those customers been live?'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Objection Handling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Objection</w:t>
            </w:r>
          </w:p>
        </w:tc>
        <w:tc>
          <w:tcPr>
            <w:tcW w:type="dxa" w:w="624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Dr. Verify Response</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Medallion has better tech.</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Newer doesn't mean better at scale. Dr. Verify's data reconciliation AI has been trained on 450+ enterprise deployments. Medallion is still learning what happens at scale. Do you want to be their learning opportunity?</w:t>
            </w:r>
          </w:p>
        </w:tc>
      </w:tr>
      <w:tr>
        <w:tc>
          <w:tcPr>
            <w:tcW w:type="dxa" w:w="312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i/>
                <w:iCs/>
                <w:sz w:val="19"/>
                <w:szCs w:val="19"/>
              </w:rPr>
              <w:t xml:space="preserve">Medallion is growing fast — they'll get there.</w:t>
            </w:r>
          </w:p>
        </w:tc>
        <w:tc>
          <w:tcPr>
            <w:tcW w:type="dxa" w:w="62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19"/>
                <w:szCs w:val="19"/>
              </w:rPr>
              <w:t xml:space="preserve">We agree — Medallion is on a good trajectory. The question is whether you need those capabilities today or in 18 months. Your next accreditation cycle won't wait for their roadmap.</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Their pricing is more transparent.</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We're equally transparent. And our pricing reflects a platform with 5 years of enterprise deployment experience, not a startup still discovering its cost structure. Ask Medallion for a fully-loaded 3-year TCO including implementation and support.</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Discovery Questions to Ask</w:t>
      </w:r>
    </w:p>
    <w:p>
      <w:pPr>
        <w:pStyle w:val="ListParagraph"/>
        <w:numPr>
          <w:ilvl w:val="0"/>
          <w:numId w:val="2"/>
        </w:numPr>
        <w:spacing w:after="40" w:before="40"/>
      </w:pPr>
      <w:r>
        <w:rPr>
          <w:rFonts w:ascii="Arial" w:cs="Arial" w:eastAsia="Arial" w:hAnsi="Arial"/>
          <w:b w:val="false"/>
          <w:bCs w:val="false"/>
          <w:color w:val="000000"/>
          <w:sz w:val="20"/>
          <w:szCs w:val="20"/>
        </w:rPr>
        <w:t xml:space="preserve">What's your timeline for your next NCQA or accreditation review?</w:t>
      </w:r>
    </w:p>
    <w:p>
      <w:pPr>
        <w:pStyle w:val="ListParagraph"/>
        <w:numPr>
          <w:ilvl w:val="0"/>
          <w:numId w:val="2"/>
        </w:numPr>
        <w:spacing w:after="40" w:before="40"/>
      </w:pPr>
      <w:r>
        <w:rPr>
          <w:rFonts w:ascii="Arial" w:cs="Arial" w:eastAsia="Arial" w:hAnsi="Arial"/>
          <w:b w:val="false"/>
          <w:bCs w:val="false"/>
          <w:color w:val="000000"/>
          <w:sz w:val="20"/>
          <w:szCs w:val="20"/>
        </w:rPr>
        <w:t xml:space="preserve">How many states do you credential providers in — and how do you manage license expiration monitoring across those states?</w:t>
      </w:r>
    </w:p>
    <w:p>
      <w:pPr>
        <w:pStyle w:val="ListParagraph"/>
        <w:numPr>
          <w:ilvl w:val="0"/>
          <w:numId w:val="2"/>
        </w:numPr>
        <w:spacing w:after="40" w:before="40"/>
      </w:pPr>
      <w:r>
        <w:rPr>
          <w:rFonts w:ascii="Arial" w:cs="Arial" w:eastAsia="Arial" w:hAnsi="Arial"/>
          <w:b w:val="false"/>
          <w:bCs w:val="false"/>
          <w:color w:val="000000"/>
          <w:sz w:val="20"/>
          <w:szCs w:val="20"/>
        </w:rPr>
        <w:t xml:space="preserve">What does your current compliance audit preparation process look like?</w:t>
      </w:r>
    </w:p>
    <w:p>
      <w:pPr>
        <w:pStyle w:val="ListParagraph"/>
        <w:numPr>
          <w:ilvl w:val="0"/>
          <w:numId w:val="2"/>
        </w:numPr>
        <w:spacing w:after="40" w:before="40"/>
      </w:pPr>
      <w:r>
        <w:rPr>
          <w:rFonts w:ascii="Arial" w:cs="Arial" w:eastAsia="Arial" w:hAnsi="Arial"/>
          <w:b w:val="false"/>
          <w:bCs w:val="false"/>
          <w:color w:val="000000"/>
          <w:sz w:val="20"/>
          <w:szCs w:val="20"/>
        </w:rPr>
        <w:t xml:space="preserve">How important is it that your credentialing vendor has reference customers at your scale?</w:t>
      </w:r>
    </w:p>
    <w:p>
      <w:pPr>
        <w:pStyle w:val="ListParagraph"/>
        <w:numPr>
          <w:ilvl w:val="0"/>
          <w:numId w:val="2"/>
        </w:numPr>
        <w:spacing w:after="40" w:before="40"/>
      </w:pPr>
      <w:r>
        <w:rPr>
          <w:rFonts w:ascii="Arial" w:cs="Arial" w:eastAsia="Arial" w:hAnsi="Arial"/>
          <w:b w:val="false"/>
          <w:bCs w:val="false"/>
          <w:color w:val="000000"/>
          <w:sz w:val="20"/>
          <w:szCs w:val="20"/>
        </w:rPr>
        <w:t xml:space="preserve">What's your tolerance for being on the leading edge of a vendor's product maturity curve?</w:t>
      </w:r>
    </w:p>
    <w:p>
      <w:pPr>
        <w:spacing w:after="80" w:before="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spacing w:after="40" w:before="0"/>
            </w:pPr>
            <w:r>
              <w:rPr>
                <w:rFonts w:ascii="Arial" w:cs="Arial" w:eastAsia="Arial" w:hAnsi="Arial"/>
                <w:b/>
                <w:bCs/>
                <w:color w:val="FFFFFF"/>
                <w:sz w:val="40"/>
                <w:szCs w:val="40"/>
              </w:rPr>
              <w:t xml:space="preserve">vs. CAQH ProView</w:t>
            </w:r>
          </w:p>
          <w:p>
            <w:pPr>
              <w:spacing w:after="0" w:before="0"/>
            </w:pPr>
            <w:r>
              <w:rPr>
                <w:rFonts w:ascii="Arial" w:cs="Arial" w:eastAsia="Arial" w:hAnsi="Arial"/>
                <w:i/>
                <w:iCs/>
                <w:color w:val="BDD7EE"/>
                <w:sz w:val="22"/>
                <w:szCs w:val="22"/>
              </w:rPr>
              <w:t xml:space="preserve">When they cite ProView as 'good enough' — show them what verification actually requires.</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Competitor Snapshot</w:t>
      </w:r>
    </w:p>
    <w:p>
      <w:pPr>
        <w:spacing w:after="80" w:before="60"/>
      </w:pPr>
      <w:r>
        <w:rPr>
          <w:rFonts w:ascii="Arial" w:cs="Arial" w:eastAsia="Arial" w:hAnsi="Arial"/>
          <w:sz w:val="20"/>
          <w:szCs w:val="20"/>
        </w:rPr>
        <w:t xml:space="preserve">CAQH ProView is the industry-standard provider data repository used by most commercial payers for credentialing data collection. Nearly every provider in the US has a ProView profile. However, CAQH ProView is a data collection and attestation tool — not a credentialing verification platform. Many healthcare organizations mistake having access to ProView as having a credentialing solution, when in reality ProView is the starting point, not the finish line.</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Strengths vs. Weaknesses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4"/>
              <w:left w:val="single" w:color="2E75B6" w:sz="4"/>
              <w:bottom w:val="single" w:color="2E75B6" w:sz="4"/>
              <w:right w:val="single" w:color="2E75B6" w:sz="4"/>
            </w:tcBorders>
            <w:shd w:fill="D6E4F0" w:val="clear"/>
            <w:tcMar>
              <w:top w:type="dxa" w:w="80"/>
              <w:left w:type="dxa" w:w="120"/>
              <w:bottom w:type="dxa" w:w="80"/>
              <w:right w:type="dxa" w:w="120"/>
            </w:tcMar>
          </w:tcPr>
          <w:p>
            <w:r>
              <w:rPr>
                <w:rFonts w:ascii="Arial" w:cs="Arial" w:eastAsia="Arial" w:hAnsi="Arial"/>
                <w:b/>
                <w:bCs/>
                <w:color w:val="1F3864"/>
                <w:sz w:val="22"/>
                <w:szCs w:val="22"/>
              </w:rPr>
              <w:t xml:space="preserve">✅ CAQH ProView Strengths</w:t>
            </w:r>
          </w:p>
        </w:tc>
        <w:tc>
          <w:tcPr>
            <w:tcW w:type="dxa" w:w="4680"/>
            <w:tcBorders>
              <w:top w:val="single" w:color="C00000" w:sz="4"/>
              <w:left w:val="single" w:color="C00000" w:sz="4"/>
              <w:bottom w:val="single" w:color="C00000" w:sz="4"/>
              <w:right w:val="single" w:color="C00000" w:sz="4"/>
            </w:tcBorders>
            <w:shd w:fill="FCE4D6" w:val="clear"/>
            <w:tcMar>
              <w:top w:type="dxa" w:w="80"/>
              <w:left w:type="dxa" w:w="120"/>
              <w:bottom w:type="dxa" w:w="80"/>
              <w:right w:type="dxa" w:w="120"/>
            </w:tcMar>
          </w:tcPr>
          <w:p>
            <w:r>
              <w:rPr>
                <w:rFonts w:ascii="Arial" w:cs="Arial" w:eastAsia="Arial" w:hAnsi="Arial"/>
                <w:b/>
                <w:bCs/>
                <w:color w:val="C00000"/>
                <w:sz w:val="22"/>
                <w:szCs w:val="22"/>
              </w:rPr>
              <w:t xml:space="preserve">❌ CAQH ProView Weaknesses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Near-universal provider adoption — almost all providers have ProView profiles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Data collection only — does NOT perform primary source verification</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Industry standard — payers accept ProView data</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Provider self-attestation model — accuracy not guaranteed</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Free or low-cost access for participating organizations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No workflow automation, no credentialing management</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Reduces provider data re-entry burden</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No real-time monitoring or license expiration alerts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Backed by major payer consortium</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Not a credentialing platform — it's a shared data repository</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Where Dr. Verify Wins</w:t>
      </w:r>
    </w:p>
    <w:p>
      <w:pPr>
        <w:pStyle w:val="ListParagraph"/>
        <w:numPr>
          <w:ilvl w:val="0"/>
          <w:numId w:val="2"/>
        </w:numPr>
        <w:spacing w:after="40" w:before="40"/>
      </w:pPr>
      <w:r>
        <w:rPr>
          <w:rFonts w:ascii="Arial" w:cs="Arial" w:eastAsia="Arial" w:hAnsi="Arial"/>
          <w:b w:val="false"/>
          <w:bCs w:val="false"/>
          <w:color w:val="1E6B2E"/>
          <w:sz w:val="20"/>
          <w:szCs w:val="20"/>
        </w:rPr>
        <w:t xml:space="preserve">Dr. Verify uses ProView as a data input source AND verifies it against primary sources</w:t>
      </w:r>
    </w:p>
    <w:p>
      <w:pPr>
        <w:pStyle w:val="ListParagraph"/>
        <w:numPr>
          <w:ilvl w:val="0"/>
          <w:numId w:val="2"/>
        </w:numPr>
        <w:spacing w:after="40" w:before="40"/>
      </w:pPr>
      <w:r>
        <w:rPr>
          <w:rFonts w:ascii="Arial" w:cs="Arial" w:eastAsia="Arial" w:hAnsi="Arial"/>
          <w:b w:val="false"/>
          <w:bCs w:val="false"/>
          <w:color w:val="1E6B2E"/>
          <w:sz w:val="20"/>
          <w:szCs w:val="20"/>
        </w:rPr>
        <w:t xml:space="preserve">Automated primary source verification — NPDB, state boards, DEA, OIG, specialty boards</w:t>
      </w:r>
    </w:p>
    <w:p>
      <w:pPr>
        <w:pStyle w:val="ListParagraph"/>
        <w:numPr>
          <w:ilvl w:val="0"/>
          <w:numId w:val="2"/>
        </w:numPr>
        <w:spacing w:after="40" w:before="40"/>
      </w:pPr>
      <w:r>
        <w:rPr>
          <w:rFonts w:ascii="Arial" w:cs="Arial" w:eastAsia="Arial" w:hAnsi="Arial"/>
          <w:b w:val="false"/>
          <w:bCs w:val="false"/>
          <w:color w:val="1E6B2E"/>
          <w:sz w:val="20"/>
          <w:szCs w:val="20"/>
        </w:rPr>
        <w:t xml:space="preserve">Real-time license expiration monitoring and alerts</w:t>
      </w:r>
    </w:p>
    <w:p>
      <w:pPr>
        <w:pStyle w:val="ListParagraph"/>
        <w:numPr>
          <w:ilvl w:val="0"/>
          <w:numId w:val="2"/>
        </w:numPr>
        <w:spacing w:after="40" w:before="40"/>
      </w:pPr>
      <w:r>
        <w:rPr>
          <w:rFonts w:ascii="Arial" w:cs="Arial" w:eastAsia="Arial" w:hAnsi="Arial"/>
          <w:b w:val="false"/>
          <w:bCs w:val="false"/>
          <w:color w:val="1E6B2E"/>
          <w:sz w:val="20"/>
          <w:szCs w:val="20"/>
        </w:rPr>
        <w:t xml:space="preserve">Credentialing workflow management — not just data storage</w:t>
      </w:r>
    </w:p>
    <w:p>
      <w:pPr>
        <w:pStyle w:val="ListParagraph"/>
        <w:numPr>
          <w:ilvl w:val="0"/>
          <w:numId w:val="2"/>
        </w:numPr>
        <w:spacing w:after="40" w:before="40"/>
      </w:pPr>
      <w:r>
        <w:rPr>
          <w:rFonts w:ascii="Arial" w:cs="Arial" w:eastAsia="Arial" w:hAnsi="Arial"/>
          <w:b w:val="false"/>
          <w:bCs w:val="false"/>
          <w:color w:val="1E6B2E"/>
          <w:sz w:val="20"/>
          <w:szCs w:val="20"/>
        </w:rPr>
        <w:t xml:space="preserve">NCQA/TJC-compliant audit trail generation</w:t>
      </w:r>
    </w:p>
    <w:p>
      <w:pPr>
        <w:pStyle w:val="ListParagraph"/>
        <w:numPr>
          <w:ilvl w:val="0"/>
          <w:numId w:val="2"/>
        </w:numPr>
        <w:spacing w:after="40" w:before="40"/>
      </w:pPr>
      <w:r>
        <w:rPr>
          <w:rFonts w:ascii="Arial" w:cs="Arial" w:eastAsia="Arial" w:hAnsi="Arial"/>
          <w:b w:val="false"/>
          <w:bCs w:val="false"/>
          <w:color w:val="1E6B2E"/>
          <w:sz w:val="20"/>
          <w:szCs w:val="20"/>
        </w:rPr>
        <w:t xml:space="preserve">Payer enrollment automation built on top of verified data</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Winning Talking Points</w:t>
      </w:r>
    </w:p>
    <w:p>
      <w:pPr>
        <w:spacing w:after="40" w:before="60"/>
      </w:pPr>
      <w:r>
        <w:rPr>
          <w:rFonts w:ascii="Arial" w:cs="Arial" w:eastAsia="Arial" w:hAnsi="Arial"/>
          <w:b/>
          <w:bCs/>
          <w:color w:val="1F3864"/>
          <w:sz w:val="20"/>
          <w:szCs w:val="20"/>
        </w:rPr>
        <w:t xml:space="preserve">CAQH is a source, not a solution: </w:t>
      </w:r>
      <w:r>
        <w:rPr>
          <w:rFonts w:ascii="Arial" w:cs="Arial" w:eastAsia="Arial" w:hAnsi="Arial"/>
          <w:sz w:val="20"/>
          <w:szCs w:val="20"/>
        </w:rPr>
        <w:t xml:space="preserve">Think of CAQH ProView like a provider's LinkedIn profile — they fill it out themselves, and it makes data sharing easier. Dr. Verify is the background check that tells you if what's on that profile is actually true.</w:t>
      </w:r>
    </w:p>
    <w:p>
      <w:pPr>
        <w:spacing w:after="40" w:before="60"/>
      </w:pPr>
      <w:r>
        <w:rPr>
          <w:rFonts w:ascii="Arial" w:cs="Arial" w:eastAsia="Arial" w:hAnsi="Arial"/>
          <w:b/>
          <w:bCs/>
          <w:color w:val="1F3864"/>
          <w:sz w:val="20"/>
          <w:szCs w:val="20"/>
        </w:rPr>
        <w:t xml:space="preserve">Verification is a legal and compliance requirement: </w:t>
      </w:r>
      <w:r>
        <w:rPr>
          <w:rFonts w:ascii="Arial" w:cs="Arial" w:eastAsia="Arial" w:hAnsi="Arial"/>
          <w:sz w:val="20"/>
          <w:szCs w:val="20"/>
        </w:rPr>
        <w:t xml:space="preserve">NCQA, TJC, and CMS require primary source verification — not self-attestation. CAQH ProView doesn't satisfy PSV requirements. Dr. Verify does, and produces the documentation to prove it.</w:t>
      </w:r>
    </w:p>
    <w:p>
      <w:pPr>
        <w:spacing w:after="40" w:before="60"/>
      </w:pPr>
      <w:r>
        <w:rPr>
          <w:rFonts w:ascii="Arial" w:cs="Arial" w:eastAsia="Arial" w:hAnsi="Arial"/>
          <w:b/>
          <w:bCs/>
          <w:color w:val="1F3864"/>
          <w:sz w:val="20"/>
          <w:szCs w:val="20"/>
        </w:rPr>
        <w:t xml:space="preserve">From data to decision: </w:t>
      </w:r>
      <w:r>
        <w:rPr>
          <w:rFonts w:ascii="Arial" w:cs="Arial" w:eastAsia="Arial" w:hAnsi="Arial"/>
          <w:sz w:val="20"/>
          <w:szCs w:val="20"/>
        </w:rPr>
        <w:t xml:space="preserve">CAQH tells you what a provider says about themselves. Dr. Verify tells you what primary sources confirm. Only one of those protects you in a malpractice or compliance scenario.</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Landmines to Plant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'Does your team currently perform primary source verification separately from CAQH data — and how long does that take per provider?'</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'If a provider's license lapsed after their last CAQH attestation, how quickly would you know?'</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 does your accreditation body accept as proof of primary source verification?'</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Objection Handling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Objection</w:t>
            </w:r>
          </w:p>
        </w:tc>
        <w:tc>
          <w:tcPr>
            <w:tcW w:type="dxa" w:w="624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Dr. Verify Response</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We already have CAQH — that covers our credentialing.</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CAQH collects provider data. Dr. Verify verifies it. Your accreditation body requires verification. Would you like to walk through what that gap costs you in manual labor and compliance risk?</w:t>
            </w:r>
          </w:p>
        </w:tc>
      </w:tr>
      <w:tr>
        <w:tc>
          <w:tcPr>
            <w:tcW w:type="dxa" w:w="312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i/>
                <w:iCs/>
                <w:sz w:val="19"/>
                <w:szCs w:val="19"/>
              </w:rPr>
              <w:t xml:space="preserve">We can't justify adding another vendor.</w:t>
            </w:r>
          </w:p>
        </w:tc>
        <w:tc>
          <w:tcPr>
            <w:tcW w:type="dxa" w:w="62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19"/>
                <w:szCs w:val="19"/>
              </w:rPr>
              <w:t xml:space="preserve">Dr. Verify integrates with CAQH ProView data as a primary input and adds the verification layer on top. You're not replacing CAQH — you're completing what CAQH can't do.</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Our current process handles PSV manually.</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How many FTE hours per week? And what's your error rate? Manual PSV at scale is the single biggest source of credentialing compliance risk. Dr. Verify eliminates the manual process and the risk simultaneously.</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Discovery Questions to Ask</w:t>
      </w:r>
    </w:p>
    <w:p>
      <w:pPr>
        <w:pStyle w:val="ListParagraph"/>
        <w:numPr>
          <w:ilvl w:val="0"/>
          <w:numId w:val="2"/>
        </w:numPr>
        <w:spacing w:after="40" w:before="40"/>
      </w:pPr>
      <w:r>
        <w:rPr>
          <w:rFonts w:ascii="Arial" w:cs="Arial" w:eastAsia="Arial" w:hAnsi="Arial"/>
          <w:b w:val="false"/>
          <w:bCs w:val="false"/>
          <w:color w:val="000000"/>
          <w:sz w:val="20"/>
          <w:szCs w:val="20"/>
        </w:rPr>
        <w:t xml:space="preserve">How does your team currently perform primary source verification on top of CAQH data?</w:t>
      </w:r>
    </w:p>
    <w:p>
      <w:pPr>
        <w:pStyle w:val="ListParagraph"/>
        <w:numPr>
          <w:ilvl w:val="0"/>
          <w:numId w:val="2"/>
        </w:numPr>
        <w:spacing w:after="40" w:before="40"/>
      </w:pPr>
      <w:r>
        <w:rPr>
          <w:rFonts w:ascii="Arial" w:cs="Arial" w:eastAsia="Arial" w:hAnsi="Arial"/>
          <w:b w:val="false"/>
          <w:bCs w:val="false"/>
          <w:color w:val="000000"/>
          <w:sz w:val="20"/>
          <w:szCs w:val="20"/>
        </w:rPr>
        <w:t xml:space="preserve">How do you get notified when a provider's license, DEA, or board certification expires?</w:t>
      </w:r>
    </w:p>
    <w:p>
      <w:pPr>
        <w:pStyle w:val="ListParagraph"/>
        <w:numPr>
          <w:ilvl w:val="0"/>
          <w:numId w:val="2"/>
        </w:numPr>
        <w:spacing w:after="40" w:before="40"/>
      </w:pPr>
      <w:r>
        <w:rPr>
          <w:rFonts w:ascii="Arial" w:cs="Arial" w:eastAsia="Arial" w:hAnsi="Arial"/>
          <w:b w:val="false"/>
          <w:bCs w:val="false"/>
          <w:color w:val="000000"/>
          <w:sz w:val="20"/>
          <w:szCs w:val="20"/>
        </w:rPr>
        <w:t xml:space="preserve">What happens to your credentialing workflow when CAQH data is out of date or incorrect?</w:t>
      </w:r>
    </w:p>
    <w:p>
      <w:pPr>
        <w:pStyle w:val="ListParagraph"/>
        <w:numPr>
          <w:ilvl w:val="0"/>
          <w:numId w:val="2"/>
        </w:numPr>
        <w:spacing w:after="40" w:before="40"/>
      </w:pPr>
      <w:r>
        <w:rPr>
          <w:rFonts w:ascii="Arial" w:cs="Arial" w:eastAsia="Arial" w:hAnsi="Arial"/>
          <w:b w:val="false"/>
          <w:bCs w:val="false"/>
          <w:color w:val="000000"/>
          <w:sz w:val="20"/>
          <w:szCs w:val="20"/>
        </w:rPr>
        <w:t xml:space="preserve">What documentation do you produce for your next TJC or NCQA survey?</w:t>
      </w:r>
    </w:p>
    <w:p>
      <w:pPr>
        <w:pStyle w:val="ListParagraph"/>
        <w:numPr>
          <w:ilvl w:val="0"/>
          <w:numId w:val="2"/>
        </w:numPr>
        <w:spacing w:after="40" w:before="40"/>
      </w:pPr>
      <w:r>
        <w:rPr>
          <w:rFonts w:ascii="Arial" w:cs="Arial" w:eastAsia="Arial" w:hAnsi="Arial"/>
          <w:b w:val="false"/>
          <w:bCs w:val="false"/>
          <w:color w:val="000000"/>
          <w:sz w:val="20"/>
          <w:szCs w:val="20"/>
        </w:rPr>
        <w:t xml:space="preserve">How many FTEs are dedicated to credentialing verification today — and what's their biggest time sink?</w:t>
      </w:r>
    </w:p>
    <w:p>
      <w:pPr>
        <w:spacing w:after="80" w:before="80"/>
      </w:pPr>
      <w:r>
        <w:t xml:space="preserve"/>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F3864" w:val="clear"/>
            <w:tcMar>
              <w:top w:type="dxa" w:w="120"/>
              <w:left w:type="dxa" w:w="200"/>
              <w:bottom w:type="dxa" w:w="120"/>
              <w:right w:type="dxa" w:w="200"/>
            </w:tcMar>
          </w:tcPr>
          <w:p>
            <w:pPr>
              <w:spacing w:after="40" w:before="0"/>
            </w:pPr>
            <w:r>
              <w:rPr>
                <w:rFonts w:ascii="Arial" w:cs="Arial" w:eastAsia="Arial" w:hAnsi="Arial"/>
                <w:b/>
                <w:bCs/>
                <w:color w:val="FFFFFF"/>
                <w:sz w:val="40"/>
                <w:szCs w:val="40"/>
              </w:rPr>
              <w:t xml:space="preserve">vs. MD-Staff</w:t>
            </w:r>
          </w:p>
          <w:p>
            <w:pPr>
              <w:spacing w:after="0" w:before="0"/>
            </w:pPr>
            <w:r>
              <w:rPr>
                <w:rFonts w:ascii="Arial" w:cs="Arial" w:eastAsia="Arial" w:hAnsi="Arial"/>
                <w:i/>
                <w:iCs/>
                <w:color w:val="BDD7EE"/>
                <w:sz w:val="22"/>
                <w:szCs w:val="22"/>
              </w:rPr>
              <w:t xml:space="preserve">When they lead with installed base and longevity — counter with AI-native speed and modern scalability.</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Competitor Snapshot</w:t>
      </w:r>
    </w:p>
    <w:p>
      <w:pPr>
        <w:spacing w:after="80" w:before="60"/>
      </w:pPr>
      <w:r>
        <w:rPr>
          <w:rFonts w:ascii="Arial" w:cs="Arial" w:eastAsia="Arial" w:hAnsi="Arial"/>
          <w:sz w:val="20"/>
          <w:szCs w:val="20"/>
        </w:rPr>
        <w:t xml:space="preserve">MD-Staff (by CredentialStream/symplr) is a long-established medical staff credentialing software used by hospitals and medical staff offices. It has a loyal installed base, particularly in community hospitals and smaller health systems that adopted it in the 2000s–2010s. However, MD-Staff was built in a pre-cloud, pre-AI era — it shows. The platform requires significant IT support, carries legacy UX debt, and lacks the real-time data capabilities and AI-powered automation that modern credentialing requires.</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Strengths vs. Weaknesses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4"/>
              <w:left w:val="single" w:color="2E75B6" w:sz="4"/>
              <w:bottom w:val="single" w:color="2E75B6" w:sz="4"/>
              <w:right w:val="single" w:color="2E75B6" w:sz="4"/>
            </w:tcBorders>
            <w:shd w:fill="D6E4F0" w:val="clear"/>
            <w:tcMar>
              <w:top w:type="dxa" w:w="80"/>
              <w:left w:type="dxa" w:w="120"/>
              <w:bottom w:type="dxa" w:w="80"/>
              <w:right w:type="dxa" w:w="120"/>
            </w:tcMar>
          </w:tcPr>
          <w:p>
            <w:r>
              <w:rPr>
                <w:rFonts w:ascii="Arial" w:cs="Arial" w:eastAsia="Arial" w:hAnsi="Arial"/>
                <w:b/>
                <w:bCs/>
                <w:color w:val="1F3864"/>
                <w:sz w:val="22"/>
                <w:szCs w:val="22"/>
              </w:rPr>
              <w:t xml:space="preserve">✅ MD-Staff Strengths</w:t>
            </w:r>
          </w:p>
        </w:tc>
        <w:tc>
          <w:tcPr>
            <w:tcW w:type="dxa" w:w="4680"/>
            <w:tcBorders>
              <w:top w:val="single" w:color="C00000" w:sz="4"/>
              <w:left w:val="single" w:color="C00000" w:sz="4"/>
              <w:bottom w:val="single" w:color="C00000" w:sz="4"/>
              <w:right w:val="single" w:color="C00000" w:sz="4"/>
            </w:tcBorders>
            <w:shd w:fill="FCE4D6" w:val="clear"/>
            <w:tcMar>
              <w:top w:type="dxa" w:w="80"/>
              <w:left w:type="dxa" w:w="120"/>
              <w:bottom w:type="dxa" w:w="80"/>
              <w:right w:type="dxa" w:w="120"/>
            </w:tcMar>
          </w:tcPr>
          <w:p>
            <w:r>
              <w:rPr>
                <w:rFonts w:ascii="Arial" w:cs="Arial" w:eastAsia="Arial" w:hAnsi="Arial"/>
                <w:b/>
                <w:bCs/>
                <w:color w:val="C00000"/>
                <w:sz w:val="22"/>
                <w:szCs w:val="22"/>
              </w:rPr>
              <w:t xml:space="preserve">❌ MD-Staff Weaknesses</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Strong installed base in community hospitals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Legacy architecture — on-premise or hybrid, not cloud-native</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Deep medical staff office workflow familiarity</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Dated UX requiring significant training</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Comprehensive privileging and appointment management</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No real AI capabilities — rules-based automation at best</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Long track record and reference customers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High IT dependency for configuration and maintenance</w:t>
            </w:r>
          </w:p>
        </w:tc>
      </w:tr>
      <w:tr>
        <w:tc>
          <w:tcPr>
            <w:tcW w:type="dxa" w:w="4680"/>
            <w:tcBorders>
              <w:top w:val="single" w:color="CCCCCC" w:sz="4"/>
              <w:left w:val="single" w:color="CCCCCC" w:sz="4"/>
              <w:bottom w:val="single" w:color="CCCCCC" w:sz="4"/>
              <w:right w:val="single" w:color="CCCCCC" w:sz="4"/>
            </w:tcBorders>
            <w:shd w:fill="F0F6FF" w:val="clear"/>
            <w:tcMar>
              <w:top w:type="dxa" w:w="80"/>
              <w:left w:type="dxa" w:w="120"/>
              <w:bottom w:type="dxa" w:w="80"/>
              <w:right w:type="dxa" w:w="120"/>
            </w:tcMar>
          </w:tcPr>
          <w:p>
            <w:r>
              <w:rPr>
                <w:rFonts w:ascii="Arial" w:cs="Arial" w:eastAsia="Arial" w:hAnsi="Arial"/>
                <w:b w:val="false"/>
                <w:bCs w:val="false"/>
                <w:sz w:val="20"/>
                <w:szCs w:val="20"/>
              </w:rPr>
              <w:t xml:space="preserve">Integration with some legacy HIS systems</w:t>
            </w:r>
          </w:p>
        </w:tc>
        <w:tc>
          <w:tcPr>
            <w:tcW w:type="dxa" w:w="4680"/>
            <w:tcBorders>
              <w:top w:val="single" w:color="CCCCCC" w:sz="4"/>
              <w:left w:val="single" w:color="CCCCCC" w:sz="4"/>
              <w:bottom w:val="single" w:color="CCCCCC" w:sz="4"/>
              <w:right w:val="single" w:color="CCCCCC" w:sz="4"/>
            </w:tcBorders>
            <w:shd w:fill="FFF5F5" w:val="clear"/>
            <w:tcMar>
              <w:top w:type="dxa" w:w="80"/>
              <w:left w:type="dxa" w:w="120"/>
              <w:bottom w:type="dxa" w:w="80"/>
              <w:right w:type="dxa" w:w="120"/>
            </w:tcMar>
          </w:tcPr>
          <w:p>
            <w:r>
              <w:rPr>
                <w:rFonts w:ascii="Arial" w:cs="Arial" w:eastAsia="Arial" w:hAnsi="Arial"/>
                <w:b w:val="false"/>
                <w:bCs w:val="false"/>
                <w:sz w:val="20"/>
                <w:szCs w:val="20"/>
              </w:rPr>
              <w:t xml:space="preserve">Slow innovation cadence — major releases infrequent</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Where Dr. Verify Wins</w:t>
      </w:r>
    </w:p>
    <w:p>
      <w:pPr>
        <w:pStyle w:val="ListParagraph"/>
        <w:numPr>
          <w:ilvl w:val="0"/>
          <w:numId w:val="2"/>
        </w:numPr>
        <w:spacing w:after="40" w:before="40"/>
      </w:pPr>
      <w:r>
        <w:rPr>
          <w:rFonts w:ascii="Arial" w:cs="Arial" w:eastAsia="Arial" w:hAnsi="Arial"/>
          <w:b w:val="false"/>
          <w:bCs w:val="false"/>
          <w:color w:val="1E6B2E"/>
          <w:sz w:val="20"/>
          <w:szCs w:val="20"/>
        </w:rPr>
        <w:t xml:space="preserve">Dr. Verify is cloud-native, always current — no IT-managed upgrades</w:t>
      </w:r>
    </w:p>
    <w:p>
      <w:pPr>
        <w:pStyle w:val="ListParagraph"/>
        <w:numPr>
          <w:ilvl w:val="0"/>
          <w:numId w:val="2"/>
        </w:numPr>
        <w:spacing w:after="40" w:before="40"/>
      </w:pPr>
      <w:r>
        <w:rPr>
          <w:rFonts w:ascii="Arial" w:cs="Arial" w:eastAsia="Arial" w:hAnsi="Arial"/>
          <w:b w:val="false"/>
          <w:bCs w:val="false"/>
          <w:color w:val="1E6B2E"/>
          <w:sz w:val="20"/>
          <w:szCs w:val="20"/>
        </w:rPr>
        <w:t xml:space="preserve">AI-powered data reconciliation vs. MD-Staff's rules-based workflow</w:t>
      </w:r>
    </w:p>
    <w:p>
      <w:pPr>
        <w:pStyle w:val="ListParagraph"/>
        <w:numPr>
          <w:ilvl w:val="0"/>
          <w:numId w:val="2"/>
        </w:numPr>
        <w:spacing w:after="40" w:before="40"/>
      </w:pPr>
      <w:r>
        <w:rPr>
          <w:rFonts w:ascii="Arial" w:cs="Arial" w:eastAsia="Arial" w:hAnsi="Arial"/>
          <w:b w:val="false"/>
          <w:bCs w:val="false"/>
          <w:color w:val="1E6B2E"/>
          <w:sz w:val="20"/>
          <w:szCs w:val="20"/>
        </w:rPr>
        <w:t xml:space="preserve">Modern UX with minimal training overhead</w:t>
      </w:r>
    </w:p>
    <w:p>
      <w:pPr>
        <w:pStyle w:val="ListParagraph"/>
        <w:numPr>
          <w:ilvl w:val="0"/>
          <w:numId w:val="2"/>
        </w:numPr>
        <w:spacing w:after="40" w:before="40"/>
      </w:pPr>
      <w:r>
        <w:rPr>
          <w:rFonts w:ascii="Arial" w:cs="Arial" w:eastAsia="Arial" w:hAnsi="Arial"/>
          <w:b w:val="false"/>
          <w:bCs w:val="false"/>
          <w:color w:val="1E6B2E"/>
          <w:sz w:val="20"/>
          <w:szCs w:val="20"/>
        </w:rPr>
        <w:t xml:space="preserve">Real-time monitoring vs. MD-Staff's batch/periodic processing</w:t>
      </w:r>
    </w:p>
    <w:p>
      <w:pPr>
        <w:pStyle w:val="ListParagraph"/>
        <w:numPr>
          <w:ilvl w:val="0"/>
          <w:numId w:val="2"/>
        </w:numPr>
        <w:spacing w:after="40" w:before="40"/>
      </w:pPr>
      <w:r>
        <w:rPr>
          <w:rFonts w:ascii="Arial" w:cs="Arial" w:eastAsia="Arial" w:hAnsi="Arial"/>
          <w:b w:val="false"/>
          <w:bCs w:val="false"/>
          <w:color w:val="1E6B2E"/>
          <w:sz w:val="20"/>
          <w:szCs w:val="20"/>
        </w:rPr>
        <w:t xml:space="preserve">Implementation in weeks, not a multi-quarter IT project</w:t>
      </w:r>
    </w:p>
    <w:p>
      <w:pPr>
        <w:pStyle w:val="ListParagraph"/>
        <w:numPr>
          <w:ilvl w:val="0"/>
          <w:numId w:val="2"/>
        </w:numPr>
        <w:spacing w:after="40" w:before="40"/>
      </w:pPr>
      <w:r>
        <w:rPr>
          <w:rFonts w:ascii="Arial" w:cs="Arial" w:eastAsia="Arial" w:hAnsi="Arial"/>
          <w:b w:val="false"/>
          <w:bCs w:val="false"/>
          <w:color w:val="1E6B2E"/>
          <w:sz w:val="20"/>
          <w:szCs w:val="20"/>
        </w:rPr>
        <w:t xml:space="preserve">Built-in analytics and compliance dashboards</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Winning Talking Points</w:t>
      </w:r>
    </w:p>
    <w:p>
      <w:pPr>
        <w:spacing w:after="40" w:before="60"/>
      </w:pPr>
      <w:r>
        <w:rPr>
          <w:rFonts w:ascii="Arial" w:cs="Arial" w:eastAsia="Arial" w:hAnsi="Arial"/>
          <w:b/>
          <w:bCs/>
          <w:color w:val="1F3864"/>
          <w:sz w:val="20"/>
          <w:szCs w:val="20"/>
        </w:rPr>
        <w:t xml:space="preserve">Legacy vs. current-generation: </w:t>
      </w:r>
      <w:r>
        <w:rPr>
          <w:rFonts w:ascii="Arial" w:cs="Arial" w:eastAsia="Arial" w:hAnsi="Arial"/>
          <w:sz w:val="20"/>
          <w:szCs w:val="20"/>
        </w:rPr>
        <w:t xml:space="preserve">MD-Staff was best-in-class in 2008. The credentialing landscape has changed dramatically — real-time primary source access, AI reconciliation, and cloud-native scalability are table stakes today. Staying on MD-Staff is like running on-premise email — it works, but you're paying a hidden cost every day.</w:t>
      </w:r>
    </w:p>
    <w:p>
      <w:pPr>
        <w:spacing w:after="40" w:before="60"/>
      </w:pPr>
      <w:r>
        <w:rPr>
          <w:rFonts w:ascii="Arial" w:cs="Arial" w:eastAsia="Arial" w:hAnsi="Arial"/>
          <w:b/>
          <w:bCs/>
          <w:color w:val="1F3864"/>
          <w:sz w:val="20"/>
          <w:szCs w:val="20"/>
        </w:rPr>
        <w:t xml:space="preserve">True cost of legacy: </w:t>
      </w:r>
      <w:r>
        <w:rPr>
          <w:rFonts w:ascii="Arial" w:cs="Arial" w:eastAsia="Arial" w:hAnsi="Arial"/>
          <w:sz w:val="20"/>
          <w:szCs w:val="20"/>
        </w:rPr>
        <w:t xml:space="preserve">MD-Staff's license fee looks manageable. Add IT infrastructure costs, internal support, manual workarounds for missing features, and the staff hours to compensate for automation gaps — the real number is significantly higher. Dr. Verify's fully-loaded cost is lower.</w:t>
      </w:r>
    </w:p>
    <w:p>
      <w:pPr>
        <w:spacing w:after="40" w:before="60"/>
      </w:pPr>
      <w:r>
        <w:rPr>
          <w:rFonts w:ascii="Arial" w:cs="Arial" w:eastAsia="Arial" w:hAnsi="Arial"/>
          <w:b/>
          <w:bCs/>
          <w:color w:val="1F3864"/>
          <w:sz w:val="20"/>
          <w:szCs w:val="20"/>
        </w:rPr>
        <w:t xml:space="preserve">Speed matters: </w:t>
      </w:r>
      <w:r>
        <w:rPr>
          <w:rFonts w:ascii="Arial" w:cs="Arial" w:eastAsia="Arial" w:hAnsi="Arial"/>
          <w:sz w:val="20"/>
          <w:szCs w:val="20"/>
        </w:rPr>
        <w:t xml:space="preserve">MD-Staff's batch processing means you find out about a license lapse days after it happens. Dr. Verify monitors in real time and alerts your team before a provider with a lapsed credential sees a patient.</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Landmines to Plant</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'When did you last go through a major MD-Staff upgrade — how painful was that process?'</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'How long does it take your IT team to configure a new workflow or reporting requirement in MD-Staff?'</w:t>
      </w:r>
    </w:p>
    <w:p>
      <w:pPr>
        <w:pStyle w:val="ListParagraph"/>
        <w:numPr>
          <w:ilvl w:val="0"/>
          <w:numId w:val="2"/>
        </w:numPr>
        <w:spacing w:after="40" w:before="40"/>
      </w:pPr>
      <w:r>
        <w:rPr>
          <w:rFonts w:ascii="Arial" w:cs="Arial" w:eastAsia="Arial" w:hAnsi="Arial"/>
          <w:b w:val="false"/>
          <w:bCs w:val="false"/>
          <w:color w:val="000000"/>
          <w:sz w:val="20"/>
          <w:szCs w:val="20"/>
        </w:rPr>
        <w:t xml:space="preserve">Ask them: 'What's your current process for monitoring license expirations between credentialing cycles?'</w:t>
      </w:r>
    </w:p>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Objection Handling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Objection</w:t>
            </w:r>
          </w:p>
        </w:tc>
        <w:tc>
          <w:tcPr>
            <w:tcW w:type="dxa" w:w="6240"/>
            <w:tcBorders>
              <w:top w:val="single" w:color="1F3864" w:sz="4"/>
              <w:left w:val="single" w:color="1F3864" w:sz="4"/>
              <w:bottom w:val="single" w:color="1F3864" w:sz="4"/>
              <w:right w:val="single" w:color="1F3864" w:sz="4"/>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Dr. Verify Response</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Our Medical Staff Office knows MD-Staff — change is disruptive.</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We hear that often. Our migration toolkit and white-glove onboarding is specifically designed to minimize disruption for MSO teams. And teams consistently tell us Dr. Verify's UX is learned in hours, not days.</w:t>
            </w:r>
          </w:p>
        </w:tc>
      </w:tr>
      <w:tr>
        <w:tc>
          <w:tcPr>
            <w:tcW w:type="dxa" w:w="312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i/>
                <w:iCs/>
                <w:sz w:val="19"/>
                <w:szCs w:val="19"/>
              </w:rPr>
              <w:t xml:space="preserve">We've been on MD-Staff for 15 years — it's paid for.</w:t>
            </w:r>
          </w:p>
        </w:tc>
        <w:tc>
          <w:tcPr>
            <w:tcW w:type="dxa" w:w="62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tcPr>
          <w:p>
            <w:r>
              <w:rPr>
                <w:rFonts w:ascii="Arial" w:cs="Arial" w:eastAsia="Arial" w:hAnsi="Arial"/>
                <w:sz w:val="19"/>
                <w:szCs w:val="19"/>
              </w:rPr>
              <w:t xml:space="preserve">It was paid for. What's the annual maintenance, IT infrastructure, and internal labor cost today? We typically find that the status quo costs more than a migration to Dr. Verify within the first 18 months.</w:t>
            </w:r>
          </w:p>
        </w:tc>
      </w:tr>
      <w:tr>
        <w:tc>
          <w:tcPr>
            <w:tcW w:type="dxa" w:w="3120"/>
            <w:tcBorders>
              <w:top w:val="single" w:color="CCCCCC" w:sz="4"/>
              <w:left w:val="single" w:color="CCCCCC" w:sz="4"/>
              <w:bottom w:val="single" w:color="CCCCCC" w:sz="4"/>
              <w:right w:val="single" w:color="CCCCCC" w:sz="4"/>
            </w:tcBorders>
            <w:shd w:fill="FFF2CC" w:val="clear"/>
            <w:tcMar>
              <w:top w:type="dxa" w:w="80"/>
              <w:left w:type="dxa" w:w="120"/>
              <w:bottom w:type="dxa" w:w="80"/>
              <w:right w:type="dxa" w:w="120"/>
            </w:tcMar>
          </w:tcPr>
          <w:p>
            <w:r>
              <w:rPr>
                <w:rFonts w:ascii="Arial" w:cs="Arial" w:eastAsia="Arial" w:hAnsi="Arial"/>
                <w:i/>
                <w:iCs/>
                <w:sz w:val="19"/>
                <w:szCs w:val="19"/>
              </w:rPr>
              <w:t xml:space="preserve">MD-Staff is proven — Dr. Verify is newer.</w:t>
            </w:r>
          </w:p>
        </w:tc>
        <w:tc>
          <w:tcPr>
            <w:tcW w:type="dxa" w:w="6240"/>
            <w:tcBorders>
              <w:top w:val="single" w:color="CCCCCC" w:sz="4"/>
              <w:left w:val="single" w:color="CCCCCC" w:sz="4"/>
              <w:bottom w:val="single" w:color="CCCCCC" w:sz="4"/>
              <w:right w:val="single" w:color="CCCCCC" w:sz="4"/>
            </w:tcBorders>
            <w:shd w:fill="E2EFDA" w:val="clear"/>
            <w:tcMar>
              <w:top w:type="dxa" w:w="80"/>
              <w:left w:type="dxa" w:w="120"/>
              <w:bottom w:type="dxa" w:w="80"/>
              <w:right w:type="dxa" w:w="120"/>
            </w:tcMar>
          </w:tcPr>
          <w:p>
            <w:r>
              <w:rPr>
                <w:rFonts w:ascii="Arial" w:cs="Arial" w:eastAsia="Arial" w:hAnsi="Arial"/>
                <w:sz w:val="19"/>
                <w:szCs w:val="19"/>
              </w:rPr>
              <w:t xml:space="preserve">ECosmos has 450+ enterprise customers across US, UK, and India. Dr. Verify isn't new — it's just newer than MD-Staff. And in technology, newer with proven customers is an advantage, not a risk.</w:t>
            </w:r>
          </w:p>
        </w:tc>
      </w:tr>
    </w:tbl>
    <w:p>
      <w:pPr>
        <w:spacing w:after="80" w:before="80"/>
      </w:pPr>
      <w:r>
        <w:t xml:space="preserve"/>
      </w:r>
    </w:p>
    <w:p>
      <w:pPr>
        <w:pBdr>
          <w:bottom w:val="single" w:color="2E75B6" w:sz="6" w:space="1"/>
        </w:pBdr>
        <w:spacing w:after="80" w:before="160"/>
      </w:pPr>
      <w:r>
        <w:rPr>
          <w:rFonts w:ascii="Arial" w:cs="Arial" w:eastAsia="Arial" w:hAnsi="Arial"/>
          <w:b/>
          <w:bCs/>
          <w:color w:val="1F3864"/>
          <w:sz w:val="22"/>
          <w:szCs w:val="22"/>
        </w:rPr>
        <w:t xml:space="preserve">🔍 Discovery Questions to Ask</w:t>
      </w:r>
    </w:p>
    <w:p>
      <w:pPr>
        <w:pStyle w:val="ListParagraph"/>
        <w:numPr>
          <w:ilvl w:val="0"/>
          <w:numId w:val="2"/>
        </w:numPr>
        <w:spacing w:after="40" w:before="40"/>
      </w:pPr>
      <w:r>
        <w:rPr>
          <w:rFonts w:ascii="Arial" w:cs="Arial" w:eastAsia="Arial" w:hAnsi="Arial"/>
          <w:b w:val="false"/>
          <w:bCs w:val="false"/>
          <w:color w:val="000000"/>
          <w:sz w:val="20"/>
          <w:szCs w:val="20"/>
        </w:rPr>
        <w:t xml:space="preserve">When was your last MD-Staff upgrade — how much IT time did it consume?</w:t>
      </w:r>
    </w:p>
    <w:p>
      <w:pPr>
        <w:pStyle w:val="ListParagraph"/>
        <w:numPr>
          <w:ilvl w:val="0"/>
          <w:numId w:val="2"/>
        </w:numPr>
        <w:spacing w:after="40" w:before="40"/>
      </w:pPr>
      <w:r>
        <w:rPr>
          <w:rFonts w:ascii="Arial" w:cs="Arial" w:eastAsia="Arial" w:hAnsi="Arial"/>
          <w:b w:val="false"/>
          <w:bCs w:val="false"/>
          <w:color w:val="000000"/>
          <w:sz w:val="20"/>
          <w:szCs w:val="20"/>
        </w:rPr>
        <w:t xml:space="preserve">What does your Medical Staff Office's biggest credentialing pain point look like day-to-day?</w:t>
      </w:r>
    </w:p>
    <w:p>
      <w:pPr>
        <w:pStyle w:val="ListParagraph"/>
        <w:numPr>
          <w:ilvl w:val="0"/>
          <w:numId w:val="2"/>
        </w:numPr>
        <w:spacing w:after="40" w:before="40"/>
      </w:pPr>
      <w:r>
        <w:rPr>
          <w:rFonts w:ascii="Arial" w:cs="Arial" w:eastAsia="Arial" w:hAnsi="Arial"/>
          <w:b w:val="false"/>
          <w:bCs w:val="false"/>
          <w:color w:val="000000"/>
          <w:sz w:val="20"/>
          <w:szCs w:val="20"/>
        </w:rPr>
        <w:t xml:space="preserve">How do you currently handle real-time license monitoring between your annual credentialing cycles?</w:t>
      </w:r>
    </w:p>
    <w:p>
      <w:pPr>
        <w:pStyle w:val="ListParagraph"/>
        <w:numPr>
          <w:ilvl w:val="0"/>
          <w:numId w:val="2"/>
        </w:numPr>
        <w:spacing w:after="40" w:before="40"/>
      </w:pPr>
      <w:r>
        <w:rPr>
          <w:rFonts w:ascii="Arial" w:cs="Arial" w:eastAsia="Arial" w:hAnsi="Arial"/>
          <w:b w:val="false"/>
          <w:bCs w:val="false"/>
          <w:color w:val="000000"/>
          <w:sz w:val="20"/>
          <w:szCs w:val="20"/>
        </w:rPr>
        <w:t xml:space="preserve">What reporting does your compliance team need that your current system struggles to produce?</w:t>
      </w:r>
    </w:p>
    <w:p>
      <w:pPr>
        <w:pStyle w:val="ListParagraph"/>
        <w:numPr>
          <w:ilvl w:val="0"/>
          <w:numId w:val="2"/>
        </w:numPr>
        <w:spacing w:after="40" w:before="40"/>
      </w:pPr>
      <w:r>
        <w:rPr>
          <w:rFonts w:ascii="Arial" w:cs="Arial" w:eastAsia="Arial" w:hAnsi="Arial"/>
          <w:b w:val="false"/>
          <w:bCs w:val="false"/>
          <w:color w:val="000000"/>
          <w:sz w:val="20"/>
          <w:szCs w:val="20"/>
        </w:rPr>
        <w:t xml:space="preserve">If you could eliminate one manual process in your credentialing workflow, what would it be?</w:t>
      </w:r>
    </w:p>
    <w:p>
      <w:pPr>
        <w:spacing w:after="80" w:before="80"/>
      </w:pPr>
      <w:r>
        <w:t xml:space="preserve"/>
      </w:r>
    </w:p>
    <w:p>
      <w:r>
        <w:br w:type="page"/>
      </w:r>
    </w:p>
    <w:p>
      <w:pPr>
        <w:spacing w:after="200" w:before="0"/>
      </w:pPr>
      <w:r>
        <w:rPr>
          <w:rFonts w:ascii="Arial" w:cs="Arial" w:eastAsia="Arial" w:hAnsi="Arial"/>
          <w:b/>
          <w:bCs/>
          <w:color w:val="1F3864"/>
          <w:sz w:val="36"/>
          <w:szCs w:val="36"/>
        </w:rPr>
        <w:t xml:space="preserve">Quick Comparison Matrix</w:t>
      </w:r>
    </w:p>
    <w:p>
      <w:pPr>
        <w:spacing w:after="200" w:before="0"/>
      </w:pPr>
      <w:r>
        <w:rPr>
          <w:rFonts w:ascii="Arial" w:cs="Arial" w:eastAsia="Arial" w:hAnsi="Arial"/>
          <w:i/>
          <w:iCs/>
          <w:color w:val="444444"/>
          <w:sz w:val="20"/>
          <w:szCs w:val="20"/>
        </w:rPr>
        <w:t xml:space="preserve">At a glance — how Dr. Verify stacks up across key buying criteria.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472"/>
        <w:gridCol w:w="1472"/>
        <w:gridCol w:w="1472"/>
        <w:gridCol w:w="1472"/>
        <w:gridCol w:w="1472"/>
      </w:tblGrid>
      <w:tr>
        <w:tc>
          <w:tcPr>
            <w:tcW w:type="dxa" w:w="2000"/>
            <w:tcBorders>
              <w:top w:val="single" w:color="1F3864" w:sz="4"/>
              <w:left w:val="single" w:color="1F3864" w:sz="4"/>
              <w:bottom w:val="single" w:color="1F3864" w:sz="4"/>
              <w:right w:val="single" w:color="1F3864" w:sz="4"/>
            </w:tcBorders>
            <w:shd w:fill="1F3864" w:val="clear"/>
            <w:tcMar>
              <w:top w:type="dxa" w:w="80"/>
              <w:left w:type="dxa" w:w="80"/>
              <w:bottom w:type="dxa" w:w="80"/>
              <w:right w:type="dxa" w:w="80"/>
            </w:tcMar>
          </w:tcPr>
          <w:p>
            <w:pPr>
              <w:jc w:val="center"/>
            </w:pPr>
            <w:r>
              <w:rPr>
                <w:rFonts w:ascii="Arial" w:cs="Arial" w:eastAsia="Arial" w:hAnsi="Arial"/>
                <w:b/>
                <w:bCs/>
                <w:color w:val="FFFFFF"/>
                <w:sz w:val="18"/>
                <w:szCs w:val="18"/>
              </w:rPr>
              <w:t xml:space="preserve">Capability</w:t>
            </w:r>
          </w:p>
        </w:tc>
        <w:tc>
          <w:tcPr>
            <w:tcW w:type="dxa" w:w="1472"/>
            <w:tcBorders>
              <w:top w:val="single" w:color="1F3864" w:sz="4"/>
              <w:left w:val="single" w:color="1F3864" w:sz="4"/>
              <w:bottom w:val="single" w:color="1F3864" w:sz="4"/>
              <w:right w:val="single" w:color="1F3864" w:sz="4"/>
            </w:tcBorders>
            <w:shd w:fill="2E75B6" w:val="clear"/>
            <w:tcMar>
              <w:top w:type="dxa" w:w="80"/>
              <w:left w:type="dxa" w:w="80"/>
              <w:bottom w:type="dxa" w:w="80"/>
              <w:right w:type="dxa" w:w="80"/>
            </w:tcMar>
          </w:tcPr>
          <w:p>
            <w:pPr>
              <w:jc w:val="center"/>
            </w:pPr>
            <w:r>
              <w:rPr>
                <w:rFonts w:ascii="Arial" w:cs="Arial" w:eastAsia="Arial" w:hAnsi="Arial"/>
                <w:b/>
                <w:bCs/>
                <w:color w:val="FFFFFF"/>
                <w:sz w:val="18"/>
                <w:szCs w:val="18"/>
              </w:rPr>
              <w:t xml:space="preserve">Dr. Verify</w:t>
            </w:r>
          </w:p>
        </w:tc>
        <w:tc>
          <w:tcPr>
            <w:tcW w:type="dxa" w:w="1472"/>
            <w:tcBorders>
              <w:top w:val="single" w:color="1F3864" w:sz="4"/>
              <w:left w:val="single" w:color="1F3864" w:sz="4"/>
              <w:bottom w:val="single" w:color="1F3864" w:sz="4"/>
              <w:right w:val="single" w:color="1F3864" w:sz="4"/>
            </w:tcBorders>
            <w:shd w:fill="555555" w:val="clear"/>
            <w:tcMar>
              <w:top w:type="dxa" w:w="80"/>
              <w:left w:type="dxa" w:w="80"/>
              <w:bottom w:type="dxa" w:w="80"/>
              <w:right w:type="dxa" w:w="80"/>
            </w:tcMar>
          </w:tcPr>
          <w:p>
            <w:pPr>
              <w:jc w:val="center"/>
            </w:pPr>
            <w:r>
              <w:rPr>
                <w:rFonts w:ascii="Arial" w:cs="Arial" w:eastAsia="Arial" w:hAnsi="Arial"/>
                <w:b/>
                <w:bCs/>
                <w:color w:val="FFFFFF"/>
                <w:sz w:val="18"/>
                <w:szCs w:val="18"/>
              </w:rPr>
              <w:t xml:space="preserve">Verity/symplr</w:t>
            </w:r>
          </w:p>
        </w:tc>
        <w:tc>
          <w:tcPr>
            <w:tcW w:type="dxa" w:w="1472"/>
            <w:tcBorders>
              <w:top w:val="single" w:color="1F3864" w:sz="4"/>
              <w:left w:val="single" w:color="1F3864" w:sz="4"/>
              <w:bottom w:val="single" w:color="1F3864" w:sz="4"/>
              <w:right w:val="single" w:color="1F3864" w:sz="4"/>
            </w:tcBorders>
            <w:shd w:fill="555555" w:val="clear"/>
            <w:tcMar>
              <w:top w:type="dxa" w:w="80"/>
              <w:left w:type="dxa" w:w="80"/>
              <w:bottom w:type="dxa" w:w="80"/>
              <w:right w:type="dxa" w:w="80"/>
            </w:tcMar>
          </w:tcPr>
          <w:p>
            <w:pPr>
              <w:jc w:val="center"/>
            </w:pPr>
            <w:r>
              <w:rPr>
                <w:rFonts w:ascii="Arial" w:cs="Arial" w:eastAsia="Arial" w:hAnsi="Arial"/>
                <w:b/>
                <w:bCs/>
                <w:color w:val="FFFFFF"/>
                <w:sz w:val="18"/>
                <w:szCs w:val="18"/>
              </w:rPr>
              <w:t xml:space="preserve">Modio Health</w:t>
            </w:r>
          </w:p>
        </w:tc>
        <w:tc>
          <w:tcPr>
            <w:tcW w:type="dxa" w:w="1472"/>
            <w:tcBorders>
              <w:top w:val="single" w:color="1F3864" w:sz="4"/>
              <w:left w:val="single" w:color="1F3864" w:sz="4"/>
              <w:bottom w:val="single" w:color="1F3864" w:sz="4"/>
              <w:right w:val="single" w:color="1F3864" w:sz="4"/>
            </w:tcBorders>
            <w:shd w:fill="555555" w:val="clear"/>
            <w:tcMar>
              <w:top w:type="dxa" w:w="80"/>
              <w:left w:type="dxa" w:w="80"/>
              <w:bottom w:type="dxa" w:w="80"/>
              <w:right w:type="dxa" w:w="80"/>
            </w:tcMar>
          </w:tcPr>
          <w:p>
            <w:pPr>
              <w:jc w:val="center"/>
            </w:pPr>
            <w:r>
              <w:rPr>
                <w:rFonts w:ascii="Arial" w:cs="Arial" w:eastAsia="Arial" w:hAnsi="Arial"/>
                <w:b/>
                <w:bCs/>
                <w:color w:val="FFFFFF"/>
                <w:sz w:val="18"/>
                <w:szCs w:val="18"/>
              </w:rPr>
              <w:t xml:space="preserve">Medallion</w:t>
            </w:r>
          </w:p>
        </w:tc>
        <w:tc>
          <w:tcPr>
            <w:tcW w:type="dxa" w:w="1472"/>
            <w:tcBorders>
              <w:top w:val="single" w:color="1F3864" w:sz="4"/>
              <w:left w:val="single" w:color="1F3864" w:sz="4"/>
              <w:bottom w:val="single" w:color="1F3864" w:sz="4"/>
              <w:right w:val="single" w:color="1F3864" w:sz="4"/>
            </w:tcBorders>
            <w:shd w:fill="555555" w:val="clear"/>
            <w:tcMar>
              <w:top w:type="dxa" w:w="80"/>
              <w:left w:type="dxa" w:w="80"/>
              <w:bottom w:type="dxa" w:w="80"/>
              <w:right w:type="dxa" w:w="80"/>
            </w:tcMar>
          </w:tcPr>
          <w:p>
            <w:pPr>
              <w:jc w:val="center"/>
            </w:pPr>
            <w:r>
              <w:rPr>
                <w:rFonts w:ascii="Arial" w:cs="Arial" w:eastAsia="Arial" w:hAnsi="Arial"/>
                <w:b/>
                <w:bCs/>
                <w:color w:val="FFFFFF"/>
                <w:sz w:val="18"/>
                <w:szCs w:val="18"/>
              </w:rPr>
              <w:t xml:space="preserve">MD-Staff</w:t>
            </w:r>
          </w:p>
        </w:tc>
      </w:tr>
      <w:tr>
        <w:tc>
          <w:tcPr>
            <w:tcW w:type="dxa" w:w="2000"/>
            <w:tcBorders>
              <w:top w:val="single" w:color="CCCCCC" w:sz="4"/>
              <w:left w:val="single" w:color="CCCCCC" w:sz="4"/>
              <w:bottom w:val="single" w:color="CCCCCC" w:sz="4"/>
              <w:right w:val="single" w:color="CCCCCC" w:sz="4"/>
            </w:tcBorders>
            <w:shd w:fill="D6E4F0" w:val="clear"/>
            <w:tcMar>
              <w:top w:type="dxa" w:w="60"/>
              <w:left w:type="dxa" w:w="80"/>
              <w:bottom w:type="dxa" w:w="60"/>
              <w:right w:type="dxa" w:w="80"/>
            </w:tcMar>
          </w:tcPr>
          <w:p>
            <w:r>
              <w:rPr>
                <w:rFonts w:ascii="Arial" w:cs="Arial" w:eastAsia="Arial" w:hAnsi="Arial"/>
                <w:b/>
                <w:bCs/>
                <w:color w:val="1F3864"/>
                <w:sz w:val="18"/>
                <w:szCs w:val="18"/>
              </w:rPr>
              <w:t xml:space="preserve">AI-Native PSV</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Native</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Bolt-on</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Self-report</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Early</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None</w:t>
            </w:r>
          </w:p>
        </w:tc>
      </w:tr>
      <w:tr>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Arial" w:cs="Arial" w:eastAsia="Arial" w:hAnsi="Arial"/>
                <w:b/>
                <w:bCs/>
                <w:color w:val="1F3864"/>
                <w:sz w:val="18"/>
                <w:szCs w:val="18"/>
              </w:rPr>
              <w:t xml:space="preserve">Cloud-Native</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Yes</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Hybrid</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Legacy</w:t>
            </w:r>
          </w:p>
        </w:tc>
      </w:tr>
      <w:tr>
        <w:tc>
          <w:tcPr>
            <w:tcW w:type="dxa" w:w="2000"/>
            <w:tcBorders>
              <w:top w:val="single" w:color="CCCCCC" w:sz="4"/>
              <w:left w:val="single" w:color="CCCCCC" w:sz="4"/>
              <w:bottom w:val="single" w:color="CCCCCC" w:sz="4"/>
              <w:right w:val="single" w:color="CCCCCC" w:sz="4"/>
            </w:tcBorders>
            <w:shd w:fill="D6E4F0" w:val="clear"/>
            <w:tcMar>
              <w:top w:type="dxa" w:w="60"/>
              <w:left w:type="dxa" w:w="80"/>
              <w:bottom w:type="dxa" w:w="60"/>
              <w:right w:type="dxa" w:w="80"/>
            </w:tcMar>
          </w:tcPr>
          <w:p>
            <w:r>
              <w:rPr>
                <w:rFonts w:ascii="Arial" w:cs="Arial" w:eastAsia="Arial" w:hAnsi="Arial"/>
                <w:b/>
                <w:bCs/>
                <w:color w:val="1F3864"/>
                <w:sz w:val="18"/>
                <w:szCs w:val="18"/>
              </w:rPr>
              <w:t xml:space="preserve">Time to Live</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6–10 wks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12–18 mo</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Fast</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Fast</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Variable</w:t>
            </w:r>
          </w:p>
        </w:tc>
      </w:tr>
      <w:tr>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Arial" w:cs="Arial" w:eastAsia="Arial" w:hAnsi="Arial"/>
                <w:b/>
                <w:bCs/>
                <w:color w:val="1F3864"/>
                <w:sz w:val="18"/>
                <w:szCs w:val="18"/>
              </w:rPr>
              <w:t xml:space="preserve">NCQA/TJC Audit</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Full</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Full</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Limited</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Thin</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Limited</w:t>
            </w:r>
          </w:p>
        </w:tc>
      </w:tr>
      <w:tr>
        <w:tc>
          <w:tcPr>
            <w:tcW w:type="dxa" w:w="2000"/>
            <w:tcBorders>
              <w:top w:val="single" w:color="CCCCCC" w:sz="4"/>
              <w:left w:val="single" w:color="CCCCCC" w:sz="4"/>
              <w:bottom w:val="single" w:color="CCCCCC" w:sz="4"/>
              <w:right w:val="single" w:color="CCCCCC" w:sz="4"/>
            </w:tcBorders>
            <w:shd w:fill="D6E4F0" w:val="clear"/>
            <w:tcMar>
              <w:top w:type="dxa" w:w="60"/>
              <w:left w:type="dxa" w:w="80"/>
              <w:bottom w:type="dxa" w:w="60"/>
              <w:right w:type="dxa" w:w="80"/>
            </w:tcMar>
          </w:tcPr>
          <w:p>
            <w:r>
              <w:rPr>
                <w:rFonts w:ascii="Arial" w:cs="Arial" w:eastAsia="Arial" w:hAnsi="Arial"/>
                <w:b/>
                <w:bCs/>
                <w:color w:val="1F3864"/>
                <w:sz w:val="18"/>
                <w:szCs w:val="18"/>
              </w:rPr>
              <w:t xml:space="preserve">Real-Time Monitor</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Yes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Partial</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No</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Partial</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Batch</w:t>
            </w:r>
          </w:p>
        </w:tc>
      </w:tr>
      <w:tr>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Arial" w:cs="Arial" w:eastAsia="Arial" w:hAnsi="Arial"/>
                <w:b/>
                <w:bCs/>
                <w:color w:val="1F3864"/>
                <w:sz w:val="18"/>
                <w:szCs w:val="18"/>
              </w:rPr>
              <w:t xml:space="preserve">Payer Enrollment</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Native</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Manual</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Strong</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Limited</w:t>
            </w:r>
          </w:p>
        </w:tc>
      </w:tr>
      <w:tr>
        <w:tc>
          <w:tcPr>
            <w:tcW w:type="dxa" w:w="2000"/>
            <w:tcBorders>
              <w:top w:val="single" w:color="CCCCCC" w:sz="4"/>
              <w:left w:val="single" w:color="CCCCCC" w:sz="4"/>
              <w:bottom w:val="single" w:color="CCCCCC" w:sz="4"/>
              <w:right w:val="single" w:color="CCCCCC" w:sz="4"/>
            </w:tcBorders>
            <w:shd w:fill="D6E4F0" w:val="clear"/>
            <w:tcMar>
              <w:top w:type="dxa" w:w="60"/>
              <w:left w:type="dxa" w:w="80"/>
              <w:bottom w:type="dxa" w:w="60"/>
              <w:right w:type="dxa" w:w="80"/>
            </w:tcMar>
          </w:tcPr>
          <w:p>
            <w:r>
              <w:rPr>
                <w:rFonts w:ascii="Arial" w:cs="Arial" w:eastAsia="Arial" w:hAnsi="Arial"/>
                <w:b/>
                <w:bCs/>
                <w:color w:val="1F3864"/>
                <w:sz w:val="18"/>
                <w:szCs w:val="18"/>
              </w:rPr>
              <w:t xml:space="preserve">Enterprise Scale</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450+ orgs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Growing</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Mid-mkt</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Legacy</w:t>
            </w:r>
          </w:p>
        </w:tc>
      </w:tr>
      <w:tr>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Arial" w:cs="Arial" w:eastAsia="Arial" w:hAnsi="Arial"/>
                <w:b/>
                <w:bCs/>
                <w:color w:val="1F3864"/>
                <w:sz w:val="18"/>
                <w:szCs w:val="18"/>
              </w:rPr>
              <w:t xml:space="preserve">Multi-State Lic.</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Core</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Partial</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Roadmap</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Partial</w:t>
            </w:r>
          </w:p>
        </w:tc>
      </w:tr>
      <w:tr>
        <w:tc>
          <w:tcPr>
            <w:tcW w:type="dxa" w:w="2000"/>
            <w:tcBorders>
              <w:top w:val="single" w:color="CCCCCC" w:sz="4"/>
              <w:left w:val="single" w:color="CCCCCC" w:sz="4"/>
              <w:bottom w:val="single" w:color="CCCCCC" w:sz="4"/>
              <w:right w:val="single" w:color="CCCCCC" w:sz="4"/>
            </w:tcBorders>
            <w:shd w:fill="D6E4F0" w:val="clear"/>
            <w:tcMar>
              <w:top w:type="dxa" w:w="60"/>
              <w:left w:type="dxa" w:w="80"/>
              <w:bottom w:type="dxa" w:w="60"/>
              <w:right w:type="dxa" w:w="80"/>
            </w:tcMar>
          </w:tcPr>
          <w:p>
            <w:r>
              <w:rPr>
                <w:rFonts w:ascii="Arial" w:cs="Arial" w:eastAsia="Arial" w:hAnsi="Arial"/>
                <w:b/>
                <w:bCs/>
                <w:color w:val="1F3864"/>
                <w:sz w:val="18"/>
                <w:szCs w:val="18"/>
              </w:rPr>
              <w:t xml:space="preserve">Modern UX</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Yes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Legacy</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Yes</w:t>
            </w:r>
          </w:p>
        </w:tc>
        <w:tc>
          <w:tcPr>
            <w:tcW w:type="dxa" w:w="1472"/>
            <w:tcBorders>
              <w:top w:val="single" w:color="CCCCCC" w:sz="4"/>
              <w:left w:val="single" w:color="CCCCCC" w:sz="4"/>
              <w:bottom w:val="single" w:color="CCCCCC" w:sz="4"/>
              <w:right w:val="single" w:color="CCCCCC" w:sz="4"/>
            </w:tcBorders>
            <w:shd w:fill="F2F2F2"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Dated</w:t>
            </w:r>
          </w:p>
        </w:tc>
      </w:tr>
      <w:tr>
        <w:tc>
          <w:tcPr>
            <w:tcW w:type="dxa" w:w="2000"/>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r>
              <w:rPr>
                <w:rFonts w:ascii="Arial" w:cs="Arial" w:eastAsia="Arial" w:hAnsi="Arial"/>
                <w:b/>
                <w:bCs/>
                <w:color w:val="1F3864"/>
                <w:sz w:val="18"/>
                <w:szCs w:val="18"/>
              </w:rPr>
              <w:t xml:space="preserve">Pricing Simplicity</w:t>
            </w:r>
          </w:p>
        </w:tc>
        <w:tc>
          <w:tcPr>
            <w:tcW w:type="dxa" w:w="1472"/>
            <w:tcBorders>
              <w:top w:val="single" w:color="CCCCCC" w:sz="4"/>
              <w:left w:val="single" w:color="CCCCCC" w:sz="4"/>
              <w:bottom w:val="single" w:color="CCCCCC" w:sz="4"/>
              <w:right w:val="single" w:color="CCCCCC" w:sz="4"/>
            </w:tcBorders>
            <w:shd w:fill="E2EFDA" w:val="clear"/>
            <w:tcMar>
              <w:top w:type="dxa" w:w="60"/>
              <w:left w:type="dxa" w:w="80"/>
              <w:bottom w:type="dxa" w:w="60"/>
              <w:right w:type="dxa" w:w="80"/>
            </w:tcMar>
          </w:tcPr>
          <w:p>
            <w:pPr>
              <w:jc w:val="center"/>
            </w:pPr>
            <w:r>
              <w:rPr>
                <w:rFonts w:ascii="Arial" w:cs="Arial" w:eastAsia="Arial" w:hAnsi="Arial"/>
                <w:b/>
                <w:bCs/>
                <w:sz w:val="17"/>
                <w:szCs w:val="17"/>
              </w:rPr>
              <w:t xml:space="preserve">✅ Clear</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Complex</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Clear</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Clear</w:t>
            </w:r>
          </w:p>
        </w:tc>
        <w:tc>
          <w:tcPr>
            <w:tcW w:type="dxa" w:w="1472"/>
            <w:tcBorders>
              <w:top w:val="single" w:color="CCCCCC" w:sz="4"/>
              <w:left w:val="single" w:color="CCCCCC" w:sz="4"/>
              <w:bottom w:val="single" w:color="CCCCCC" w:sz="4"/>
              <w:right w:val="single" w:color="CCCCCC" w:sz="4"/>
            </w:tcBorders>
            <w:shd w:fill="FFFFFF" w:val="clear"/>
            <w:tcMar>
              <w:top w:type="dxa" w:w="60"/>
              <w:left w:type="dxa" w:w="80"/>
              <w:bottom w:type="dxa" w:w="60"/>
              <w:right w:type="dxa" w:w="80"/>
            </w:tcMar>
          </w:tcPr>
          <w:p>
            <w:pPr>
              <w:jc w:val="center"/>
            </w:pPr>
            <w:r>
              <w:rPr>
                <w:rFonts w:ascii="Arial" w:cs="Arial" w:eastAsia="Arial" w:hAnsi="Arial"/>
                <w:b w:val="false"/>
                <w:bCs w:val="false"/>
                <w:sz w:val="17"/>
                <w:szCs w:val="17"/>
              </w:rPr>
              <w:t xml:space="preserve">⚠️ Variable</w:t>
            </w:r>
          </w:p>
        </w:tc>
      </w:tr>
    </w:tbl>
    <w:p>
      <w:pPr>
        <w:spacing w:after="80" w:before="80"/>
      </w:pPr>
      <w:r>
        <w:t xml:space="preserve"/>
      </w:r>
    </w:p>
    <w:p>
      <w:pPr>
        <w:spacing w:after="80" w:before="80"/>
      </w:pPr>
      <w:r>
        <w:t xml:space="preserve"/>
      </w:r>
    </w:p>
    <w:p>
      <w:pPr>
        <w:jc w:val="center"/>
      </w:pPr>
      <w:r>
        <w:rPr>
          <w:rFonts w:ascii="Arial" w:cs="Arial" w:eastAsia="Arial" w:hAnsi="Arial"/>
          <w:i/>
          <w:iCs/>
          <w:color w:val="888888"/>
          <w:sz w:val="18"/>
          <w:szCs w:val="18"/>
        </w:rPr>
        <w:t xml:space="preserve">ECosmos Solutions | Dr. Verify | Competitive Intelligence | CONFIDENTIAL</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300"/>
      </w:pPr>
      <w:rPr>
        <w:rFonts w:ascii="Arial" w:cs="Arial" w:eastAsia="Arial" w:hAnsi="Arial"/>
        <w:sz w:val="20"/>
        <w:szCs w:val="20"/>
      </w:rPr>
    </w:lvl>
  </w:abstractNum>
  <w:abstractNum w:abstractNumId="3" w15:restartNumberingAfterBreak="0">
    <w:multiLevelType w:val="hybridMultilevel"/>
    <w:lvl w:ilvl="0" w15:tentative="1">
      <w:start w:val="1"/>
      <w:numFmt w:val="bullet"/>
      <w:lvlText w:val="•"/>
      <w:lvlJc w:val="left"/>
      <w:pPr>
        <w:ind w:left="480" w:hanging="300"/>
      </w:pPr>
    </w:lvl>
    <w:lvl w:ilvl="1" w15:tentative="1">
      <w:start w:val="1"/>
      <w:numFmt w:val="bullet"/>
      <w:lvlText w:val="–"/>
      <w:lvlJc w:val="left"/>
      <w:pPr>
        <w:ind w:left="900" w:hanging="300"/>
      </w:pPr>
      <w:rPr>
        <w:sz w:val="18"/>
        <w:szCs w:val="1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2026-06-21T01:27:51.100Z</dcterms:created>
  <dcterms:modified xsi:type="dcterms:W3CDTF">2026-06-21T01:27:51.100Z</dcterms:modified>
</cp:coreProperties>
</file>

<file path=docProps/custom.xml><?xml version="1.0" encoding="utf-8"?>
<Properties xmlns="http://schemas.openxmlformats.org/officeDocument/2006/custom-properties" xmlns:vt="http://schemas.openxmlformats.org/officeDocument/2006/docPropsVTypes"/>
</file>